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3F0D0" w14:textId="3E31FFA3" w:rsidR="00194E3D" w:rsidRDefault="00194E3D" w:rsidP="00194E3D">
      <w:pPr>
        <w:pStyle w:val="3GPPHeader"/>
        <w:spacing w:after="60"/>
        <w:rPr>
          <w:sz w:val="32"/>
          <w:szCs w:val="32"/>
          <w:highlight w:val="yellow"/>
          <w:lang w:val="en-US"/>
        </w:rPr>
      </w:pPr>
      <w:bookmarkStart w:id="0" w:name="_Hlk524960236"/>
      <w:bookmarkStart w:id="1" w:name="_Hlk524960622"/>
      <w:r>
        <w:rPr>
          <w:lang w:val="en-US"/>
        </w:rPr>
        <w:t>3GPP TSG-RAN WG1 Meeting Ad Hoc 1901</w:t>
      </w:r>
      <w:r>
        <w:rPr>
          <w:lang w:val="en-US"/>
        </w:rPr>
        <w:tab/>
      </w:r>
      <w:r>
        <w:rPr>
          <w:sz w:val="32"/>
          <w:szCs w:val="32"/>
          <w:lang w:val="en-US"/>
        </w:rPr>
        <w:t xml:space="preserve"> </w:t>
      </w:r>
      <w:r w:rsidRPr="000A3FD3">
        <w:rPr>
          <w:sz w:val="32"/>
          <w:szCs w:val="32"/>
          <w:lang w:val="en-US"/>
        </w:rPr>
        <w:t>R1-190</w:t>
      </w:r>
      <w:r w:rsidR="000A3FD3" w:rsidRPr="000A3FD3">
        <w:rPr>
          <w:sz w:val="32"/>
          <w:szCs w:val="32"/>
          <w:lang w:val="en-US"/>
        </w:rPr>
        <w:t>1002</w:t>
      </w:r>
      <w:bookmarkStart w:id="2" w:name="_GoBack"/>
      <w:bookmarkEnd w:id="2"/>
    </w:p>
    <w:p w14:paraId="77CA4163" w14:textId="77777777" w:rsidR="00194E3D" w:rsidRPr="005B5E25" w:rsidRDefault="00194E3D" w:rsidP="009041D9">
      <w:pPr>
        <w:pStyle w:val="3GPPHeader"/>
        <w:spacing w:after="0"/>
      </w:pPr>
      <w:r>
        <w:rPr>
          <w:lang w:val="en-US"/>
        </w:rPr>
        <w:t>Taipei, Taiwan, 21</w:t>
      </w:r>
      <w:r w:rsidRPr="002F6DAC">
        <w:rPr>
          <w:vertAlign w:val="superscript"/>
          <w:lang w:val="en-US"/>
        </w:rPr>
        <w:t>st</w:t>
      </w:r>
      <w:r>
        <w:rPr>
          <w:lang w:val="en-US"/>
        </w:rPr>
        <w:t xml:space="preserve"> – 25</w:t>
      </w:r>
      <w:r w:rsidRPr="002F6DAC">
        <w:rPr>
          <w:vertAlign w:val="superscript"/>
          <w:lang w:val="en-US"/>
        </w:rPr>
        <w:t>th</w:t>
      </w:r>
      <w:r>
        <w:rPr>
          <w:lang w:val="en-US"/>
        </w:rPr>
        <w:t xml:space="preserve"> </w:t>
      </w:r>
      <w:proofErr w:type="gramStart"/>
      <w:r>
        <w:rPr>
          <w:lang w:val="en-US"/>
        </w:rPr>
        <w:t>January,</w:t>
      </w:r>
      <w:proofErr w:type="gramEnd"/>
      <w:r>
        <w:rPr>
          <w:lang w:val="en-US"/>
        </w:rPr>
        <w:t xml:space="preserve"> 2019</w:t>
      </w:r>
    </w:p>
    <w:bookmarkEnd w:id="0"/>
    <w:p w14:paraId="752B6174" w14:textId="77777777" w:rsidR="009F0D27" w:rsidRPr="009F0D27" w:rsidRDefault="009F0D27" w:rsidP="009F0D27">
      <w:pPr>
        <w:pStyle w:val="3GPPHeader"/>
        <w:overflowPunct/>
        <w:autoSpaceDE/>
        <w:autoSpaceDN/>
        <w:adjustRightInd/>
        <w:textAlignment w:val="auto"/>
        <w:rPr>
          <w:rFonts w:eastAsiaTheme="minorHAnsi"/>
          <w:lang w:val="en-US"/>
        </w:rPr>
      </w:pPr>
    </w:p>
    <w:p w14:paraId="7EEB5E57" w14:textId="19BAB6C7" w:rsidR="00B048E3" w:rsidRPr="007D23AD" w:rsidRDefault="00B048E3" w:rsidP="00B048E3">
      <w:pPr>
        <w:pStyle w:val="3GPPHeader"/>
        <w:rPr>
          <w:sz w:val="22"/>
          <w:szCs w:val="22"/>
          <w:lang w:val="en-US"/>
        </w:rPr>
      </w:pPr>
      <w:r w:rsidRPr="007D23AD">
        <w:rPr>
          <w:sz w:val="22"/>
          <w:szCs w:val="22"/>
          <w:lang w:val="en-US"/>
        </w:rPr>
        <w:t>Agenda Item:</w:t>
      </w:r>
      <w:r w:rsidRPr="007D23AD">
        <w:rPr>
          <w:sz w:val="22"/>
          <w:szCs w:val="22"/>
          <w:lang w:val="en-US"/>
        </w:rPr>
        <w:tab/>
      </w:r>
      <w:r w:rsidR="00E6180E" w:rsidRPr="00233E9C">
        <w:rPr>
          <w:sz w:val="22"/>
          <w:szCs w:val="22"/>
          <w:lang w:val="en-US"/>
        </w:rPr>
        <w:t>7.2.2.</w:t>
      </w:r>
      <w:r w:rsidR="003318FB">
        <w:rPr>
          <w:sz w:val="22"/>
          <w:szCs w:val="22"/>
          <w:lang w:val="en-US"/>
        </w:rPr>
        <w:t>2.</w:t>
      </w:r>
      <w:r w:rsidR="00E6180E" w:rsidRPr="00233E9C">
        <w:rPr>
          <w:sz w:val="22"/>
          <w:szCs w:val="22"/>
          <w:lang w:val="en-US"/>
        </w:rPr>
        <w:t>5</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13D901B5" w:rsidR="00E90E49" w:rsidRPr="00CE0424" w:rsidRDefault="003D3C45" w:rsidP="00311702">
      <w:pPr>
        <w:pStyle w:val="3GPPHeader"/>
        <w:rPr>
          <w:sz w:val="22"/>
          <w:szCs w:val="22"/>
        </w:rPr>
      </w:pPr>
      <w:r>
        <w:rPr>
          <w:sz w:val="22"/>
          <w:szCs w:val="22"/>
        </w:rPr>
        <w:t>Title:</w:t>
      </w:r>
      <w:r w:rsidR="00E90E49" w:rsidRPr="00CE0424">
        <w:rPr>
          <w:sz w:val="22"/>
          <w:szCs w:val="22"/>
        </w:rPr>
        <w:tab/>
      </w:r>
      <w:r w:rsidR="00E6180E">
        <w:rPr>
          <w:sz w:val="22"/>
          <w:szCs w:val="22"/>
        </w:rPr>
        <w:t>Wideband operation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bookmarkEnd w:id="1"/>
    <w:p w14:paraId="37CFE3B4" w14:textId="736A45AC" w:rsidR="00E90E49" w:rsidRDefault="00230D18" w:rsidP="00CE0424">
      <w:pPr>
        <w:pStyle w:val="Heading1"/>
      </w:pPr>
      <w:r>
        <w:t>1</w:t>
      </w:r>
      <w:r>
        <w:tab/>
      </w:r>
      <w:r w:rsidR="00E90E49" w:rsidRPr="00CE0424">
        <w:t>Introduction</w:t>
      </w:r>
    </w:p>
    <w:p w14:paraId="5929EFF7" w14:textId="6AC9035F" w:rsidR="000962B9" w:rsidRDefault="005802B4" w:rsidP="000962B9">
      <w:pPr>
        <w:pStyle w:val="BodyText"/>
      </w:pPr>
      <w:r>
        <w:t xml:space="preserve">As for NR in licensed bands, it is expected that NR-U will support transmission over a wide bandwidth (&gt;&gt; 20 MHz). Essentially this can be achieved </w:t>
      </w:r>
      <w:r w:rsidR="007D5505">
        <w:t xml:space="preserve">essentially </w:t>
      </w:r>
      <w:r>
        <w:t xml:space="preserve">in two different ways: (1) configuration of multiple serving cells, each with 20 MHz bandwidth, and (2) configuration of a single wideband serving cell with bandwidth as in integer multiple of 20 </w:t>
      </w:r>
      <w:proofErr w:type="spellStart"/>
      <w:r>
        <w:t>MHz.</w:t>
      </w:r>
      <w:proofErr w:type="spellEnd"/>
      <w:r>
        <w:t xml:space="preserve"> Regarding these two methods, the following objective is listed in the </w:t>
      </w:r>
      <w:r w:rsidR="000962B9">
        <w:t xml:space="preserve">NR-U WID </w:t>
      </w:r>
      <w:r w:rsidR="000962B9">
        <w:fldChar w:fldCharType="begin"/>
      </w:r>
      <w:r w:rsidR="000962B9">
        <w:instrText xml:space="preserve"> REF _Ref534127550 \r \h  \* MERGEFORMAT </w:instrText>
      </w:r>
      <w:r w:rsidR="000962B9">
        <w:fldChar w:fldCharType="separate"/>
      </w:r>
      <w:r w:rsidR="000962B9">
        <w:t>[1]</w:t>
      </w:r>
      <w:r w:rsidR="000962B9">
        <w:fldChar w:fldCharType="end"/>
      </w:r>
      <w:r w:rsidR="008A6BFA">
        <w:t>:</w:t>
      </w:r>
    </w:p>
    <w:p w14:paraId="0529924C" w14:textId="33AACF07" w:rsidR="000962B9" w:rsidRPr="000962B9" w:rsidRDefault="000962B9" w:rsidP="000962B9">
      <w:pPr>
        <w:pStyle w:val="BodyText"/>
        <w:ind w:left="567"/>
        <w:rPr>
          <w:rFonts w:ascii="Times New Roman" w:hAnsi="Times New Roman"/>
          <w:i/>
        </w:rPr>
      </w:pPr>
      <w:r w:rsidRPr="000962B9">
        <w:rPr>
          <w:rFonts w:ascii="Times New Roman" w:hAnsi="Times New Roman"/>
          <w:i/>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0962B9">
        <w:rPr>
          <w:rFonts w:ascii="Times New Roman" w:hAnsi="Times New Roman"/>
          <w:i/>
          <w:lang w:eastAsia="ja-JP"/>
        </w:rPr>
        <w:t>subbands</w:t>
      </w:r>
      <w:proofErr w:type="spellEnd"/>
      <w:r w:rsidRPr="000962B9">
        <w:rPr>
          <w:rFonts w:ascii="Times New Roman" w:hAnsi="Times New Roman"/>
          <w:i/>
          <w:lang w:eastAsia="ja-JP"/>
        </w:rPr>
        <w:t xml:space="preserve"> within the wideband carrier. For all wide-band operation cases, CCA is performed in units of 20MHz (at least for 5GHz).</w:t>
      </w:r>
    </w:p>
    <w:p w14:paraId="13FAC99A" w14:textId="3DE2683D" w:rsidR="007D5505" w:rsidRDefault="008A6BFA" w:rsidP="000962B9">
      <w:pPr>
        <w:pStyle w:val="BodyText"/>
      </w:pPr>
      <w:r>
        <w:t xml:space="preserve">The corresponding agreement from the SI phase is listed in the TR 38.889 </w:t>
      </w:r>
      <w:r>
        <w:fldChar w:fldCharType="begin"/>
      </w:r>
      <w:r>
        <w:instrText xml:space="preserve"> REF _Ref534117348 \r \h </w:instrText>
      </w:r>
      <w:r>
        <w:fldChar w:fldCharType="separate"/>
      </w:r>
      <w:r>
        <w:t>[2]</w:t>
      </w:r>
      <w:r>
        <w:fldChar w:fldCharType="end"/>
      </w:r>
      <w:r>
        <w:t>:</w:t>
      </w:r>
    </w:p>
    <w:p w14:paraId="3A3E19D3" w14:textId="77777777" w:rsidR="007D5505" w:rsidRPr="007D5505" w:rsidRDefault="007D5505" w:rsidP="008A6BFA">
      <w:pPr>
        <w:spacing w:after="0"/>
        <w:ind w:left="567"/>
        <w:rPr>
          <w:rFonts w:eastAsia="Malgun Gothic"/>
          <w:i/>
          <w:lang w:eastAsia="ko-KR"/>
        </w:rPr>
      </w:pPr>
      <w:r w:rsidRPr="007D5505">
        <w:rPr>
          <w:rFonts w:eastAsia="Malgun Gothic" w:hint="eastAsia"/>
          <w:i/>
          <w:lang w:eastAsia="ko-KR"/>
        </w:rPr>
        <w:t>For</w:t>
      </w:r>
      <w:r w:rsidRPr="007D5505">
        <w:rPr>
          <w:rFonts w:eastAsia="Malgun Gothic"/>
          <w:i/>
          <w:lang w:eastAsia="ko-KR"/>
        </w:rPr>
        <w:t xml:space="preserve"> wideband operation for both DL and UL,</w:t>
      </w:r>
    </w:p>
    <w:p w14:paraId="7B717BCE"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r>
      <w:r w:rsidRPr="007D5505">
        <w:rPr>
          <w:rFonts w:hint="eastAsia"/>
          <w:i/>
          <w:lang w:val="en-US"/>
        </w:rPr>
        <w:t>Bandwidth larger than 20 MHz can be supported with multiple serving cells.</w:t>
      </w:r>
    </w:p>
    <w:p w14:paraId="4BA78AF7"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 xml:space="preserve">NR-U should support that a serving cell can be configured with bandwidth larger than 20 </w:t>
      </w:r>
      <w:proofErr w:type="spellStart"/>
      <w:r w:rsidRPr="007D5505">
        <w:rPr>
          <w:i/>
          <w:lang w:val="en-US"/>
        </w:rPr>
        <w:t>MHz.</w:t>
      </w:r>
      <w:proofErr w:type="spellEnd"/>
      <w:r w:rsidRPr="007D5505">
        <w:rPr>
          <w:i/>
          <w:lang w:val="en-US"/>
        </w:rPr>
        <w:t xml:space="preserve"> </w:t>
      </w:r>
    </w:p>
    <w:p w14:paraId="758B0CC1" w14:textId="77777777" w:rsidR="007D5505" w:rsidRPr="007D5505" w:rsidRDefault="007D5505" w:rsidP="008A6BFA">
      <w:pPr>
        <w:spacing w:after="0"/>
        <w:ind w:left="567"/>
        <w:rPr>
          <w:rFonts w:eastAsia="Malgun Gothic"/>
          <w:i/>
          <w:lang w:eastAsia="ko-KR"/>
        </w:rPr>
      </w:pPr>
      <w:r w:rsidRPr="007D5505">
        <w:rPr>
          <w:rFonts w:eastAsia="Malgun Gothic"/>
          <w:i/>
          <w:lang w:eastAsia="ko-KR"/>
        </w:rPr>
        <w:t>For DL operation, the following options for BWP-based operation within a carrier with bandwidth larger than 20 MHz can be considered.</w:t>
      </w:r>
    </w:p>
    <w:p w14:paraId="72753EF2"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Option 1a: Multiple BWPs configured, multiple BWPs activated, transmission of PDSCH on one or more BWPs</w:t>
      </w:r>
    </w:p>
    <w:p w14:paraId="16FCCD6B"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Option 1b: Multiple BWPs configured, multiple BWPs activated, transmission of PDSCH on single BWP</w:t>
      </w:r>
    </w:p>
    <w:p w14:paraId="7B612CF4"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 xml:space="preserve">Option 2: Multiple BWPs can be configured, single BWP activated, </w:t>
      </w:r>
      <w:proofErr w:type="spellStart"/>
      <w:r w:rsidRPr="007D5505">
        <w:rPr>
          <w:i/>
          <w:lang w:val="en-US"/>
        </w:rPr>
        <w:t>gNB</w:t>
      </w:r>
      <w:proofErr w:type="spellEnd"/>
      <w:r w:rsidRPr="007D5505">
        <w:rPr>
          <w:i/>
          <w:lang w:val="en-US"/>
        </w:rPr>
        <w:t xml:space="preserve"> transmits PDSCH on a single BWP if CCA is successful at </w:t>
      </w:r>
      <w:proofErr w:type="spellStart"/>
      <w:r w:rsidRPr="007D5505">
        <w:rPr>
          <w:i/>
          <w:lang w:val="en-US"/>
        </w:rPr>
        <w:t>gNB</w:t>
      </w:r>
      <w:proofErr w:type="spellEnd"/>
      <w:r w:rsidRPr="007D5505">
        <w:rPr>
          <w:i/>
          <w:lang w:val="en-US"/>
        </w:rPr>
        <w:t xml:space="preserve"> for the whole BWP</w:t>
      </w:r>
    </w:p>
    <w:p w14:paraId="5A06777D"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 xml:space="preserve">Option 3: Multiple BWPs can be configured, single BWP activated, </w:t>
      </w:r>
      <w:proofErr w:type="spellStart"/>
      <w:r w:rsidRPr="007D5505">
        <w:rPr>
          <w:i/>
          <w:lang w:val="en-US"/>
        </w:rPr>
        <w:t>gNB</w:t>
      </w:r>
      <w:proofErr w:type="spellEnd"/>
      <w:r w:rsidRPr="007D5505">
        <w:rPr>
          <w:i/>
          <w:lang w:val="en-US"/>
        </w:rPr>
        <w:t xml:space="preserve"> transmits PDSCH on parts or whole of single BWP where CCA is successful at </w:t>
      </w:r>
      <w:proofErr w:type="spellStart"/>
      <w:r w:rsidRPr="007D5505">
        <w:rPr>
          <w:i/>
          <w:lang w:val="en-US"/>
        </w:rPr>
        <w:t>gNB</w:t>
      </w:r>
      <w:proofErr w:type="spellEnd"/>
    </w:p>
    <w:p w14:paraId="4522D126" w14:textId="77777777" w:rsidR="007D5505" w:rsidRPr="007D5505" w:rsidRDefault="007D5505" w:rsidP="008A6BFA">
      <w:pPr>
        <w:spacing w:after="0"/>
        <w:ind w:left="567"/>
        <w:rPr>
          <w:rFonts w:eastAsia="Malgun Gothic"/>
          <w:i/>
          <w:lang w:eastAsia="ko-KR"/>
        </w:rPr>
      </w:pPr>
      <w:r w:rsidRPr="007D5505">
        <w:rPr>
          <w:i/>
          <w:lang w:val="en-US"/>
        </w:rPr>
        <w:t>For UL operation, the following options for BWP-based operation within a carrier with bandwidth larger than 20 MHz can be considered.</w:t>
      </w:r>
    </w:p>
    <w:p w14:paraId="63BE775E"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Option 1a: Multiple BWPs configured, multiple BWPs activated, transmission of PUSCH on one or more BWPs</w:t>
      </w:r>
    </w:p>
    <w:p w14:paraId="1CF645D0"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Option 1b: Multiple BWPs configured, multiple BWPs activated, transmission of PUSCH on single BWP</w:t>
      </w:r>
    </w:p>
    <w:p w14:paraId="2EE10F49"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Option 2: Multiple BWPs can be configured, single BWP activated, UE transmits PUSCH on a single BWP if CCA is successful at UE for the whole BWP</w:t>
      </w:r>
    </w:p>
    <w:p w14:paraId="0B142B61" w14:textId="77777777" w:rsidR="007D5505" w:rsidRPr="007D5505" w:rsidRDefault="007D5505" w:rsidP="008A6BFA">
      <w:pPr>
        <w:pStyle w:val="B1"/>
        <w:spacing w:after="0"/>
        <w:ind w:left="1135"/>
        <w:rPr>
          <w:i/>
          <w:lang w:val="en-US"/>
        </w:rPr>
      </w:pPr>
      <w:r w:rsidRPr="007D5505">
        <w:rPr>
          <w:i/>
          <w:lang w:val="en-US"/>
        </w:rPr>
        <w:t>-</w:t>
      </w:r>
      <w:r w:rsidRPr="007D5505">
        <w:rPr>
          <w:i/>
          <w:lang w:val="en-US"/>
        </w:rPr>
        <w:tab/>
        <w:t>Option 3: Multiple BWPs can be configured, single BWP activated, UE transmits PUSCH on parts or whole of single BWP where CCA is successful at UE</w:t>
      </w:r>
    </w:p>
    <w:p w14:paraId="1FD0E322" w14:textId="77777777" w:rsidR="007D5505" w:rsidRPr="007D5505" w:rsidRDefault="007D5505" w:rsidP="008A6BFA">
      <w:pPr>
        <w:spacing w:after="120"/>
        <w:ind w:left="562"/>
        <w:rPr>
          <w:rFonts w:eastAsia="Malgun Gothic"/>
          <w:i/>
          <w:lang w:eastAsia="ko-KR"/>
        </w:rPr>
      </w:pPr>
      <w:r w:rsidRPr="007D5505">
        <w:rPr>
          <w:rFonts w:eastAsia="Malgun Gothic"/>
          <w:i/>
          <w:lang w:eastAsia="ko-KR"/>
        </w:rPr>
        <w:t xml:space="preserve">It is noted that CCA is declared to be successful or not in multiples of 20 </w:t>
      </w:r>
      <w:proofErr w:type="spellStart"/>
      <w:r w:rsidRPr="007D5505">
        <w:rPr>
          <w:rFonts w:eastAsia="Malgun Gothic"/>
          <w:i/>
          <w:lang w:eastAsia="ko-KR"/>
        </w:rPr>
        <w:t>MHz.</w:t>
      </w:r>
      <w:proofErr w:type="spellEnd"/>
    </w:p>
    <w:p w14:paraId="1C661B05" w14:textId="0D8CF96B" w:rsidR="000962B9" w:rsidRDefault="000962B9" w:rsidP="000962B9">
      <w:pPr>
        <w:pStyle w:val="BodyText"/>
      </w:pPr>
      <w:r>
        <w:t>In th</w:t>
      </w:r>
      <w:r w:rsidR="008A6BFA">
        <w:t xml:space="preserve">is contribution we address wideband operation with both multiple and single serving cells for </w:t>
      </w:r>
      <w:r w:rsidR="005802B4">
        <w:t xml:space="preserve">both </w:t>
      </w:r>
      <w:r w:rsidR="005802B4" w:rsidRPr="00233E9C">
        <w:t>DL and UL</w:t>
      </w:r>
      <w:r w:rsidR="008A6BFA" w:rsidRPr="00233E9C">
        <w:t>.</w:t>
      </w:r>
    </w:p>
    <w:p w14:paraId="54AD3214" w14:textId="744945F3" w:rsidR="00DB72AF" w:rsidRDefault="00194E3D" w:rsidP="00DB72AF">
      <w:pPr>
        <w:pStyle w:val="Heading1"/>
      </w:pPr>
      <w:r>
        <w:t>2</w:t>
      </w:r>
      <w:r w:rsidR="00446710">
        <w:tab/>
      </w:r>
      <w:r w:rsidR="005802B4">
        <w:t>Multiple Serving Cells</w:t>
      </w:r>
    </w:p>
    <w:p w14:paraId="3B5E9BC5" w14:textId="2CC40C2F" w:rsidR="00C77B01" w:rsidRDefault="008A6BFA" w:rsidP="008A6BFA">
      <w:pPr>
        <w:pStyle w:val="BodyText"/>
      </w:pPr>
      <w:r w:rsidRPr="008A6BFA">
        <w:rPr>
          <w:rStyle w:val="BodyTextChar"/>
        </w:rPr>
        <w:t xml:space="preserve">As </w:t>
      </w:r>
      <w:r>
        <w:rPr>
          <w:rStyle w:val="BodyTextChar"/>
        </w:rPr>
        <w:t>stated in the above agreement</w:t>
      </w:r>
      <w:r w:rsidRPr="008A6BFA">
        <w:rPr>
          <w:rStyle w:val="BodyTextChar"/>
        </w:rPr>
        <w:t>, wideband operation is supported with multiple serving cells.</w:t>
      </w:r>
      <w:r>
        <w:t xml:space="preserve"> </w:t>
      </w:r>
      <w:r w:rsidR="00C77B01" w:rsidRPr="00DF0091">
        <w:rPr>
          <w:rStyle w:val="BodyTextChar"/>
          <w:lang w:eastAsia="en-US"/>
        </w:rPr>
        <w:fldChar w:fldCharType="begin"/>
      </w:r>
      <w:r w:rsidR="00C77B01" w:rsidRPr="00DF0091">
        <w:rPr>
          <w:rStyle w:val="BodyTextChar"/>
          <w:lang w:eastAsia="en-US"/>
        </w:rPr>
        <w:instrText xml:space="preserve"> REF _Ref524529042 \h  \* MERGEFORMAT </w:instrText>
      </w:r>
      <w:r w:rsidR="00C77B01" w:rsidRPr="00DF0091">
        <w:rPr>
          <w:rStyle w:val="BodyTextChar"/>
          <w:lang w:eastAsia="en-US"/>
        </w:rPr>
      </w:r>
      <w:r w:rsidR="00C77B01" w:rsidRPr="00DF0091">
        <w:rPr>
          <w:rStyle w:val="BodyTextChar"/>
          <w:lang w:eastAsia="en-US"/>
        </w:rPr>
        <w:fldChar w:fldCharType="separate"/>
      </w:r>
      <w:r w:rsidRPr="008A6BFA">
        <w:rPr>
          <w:rStyle w:val="BodyTextChar"/>
          <w:lang w:eastAsia="en-US"/>
        </w:rPr>
        <w:t>Figure 1</w:t>
      </w:r>
      <w:r w:rsidR="00C77B01" w:rsidRPr="00DF0091">
        <w:rPr>
          <w:rStyle w:val="BodyTextChar"/>
          <w:lang w:eastAsia="en-US"/>
        </w:rPr>
        <w:fldChar w:fldCharType="end"/>
      </w:r>
      <w:r w:rsidR="00C77B01" w:rsidRPr="00DF0091">
        <w:rPr>
          <w:rStyle w:val="BodyTextChar"/>
          <w:lang w:eastAsia="en-US"/>
        </w:rPr>
        <w:t xml:space="preserve"> </w:t>
      </w:r>
      <w:r w:rsidR="00C77B01" w:rsidRPr="00DF0091">
        <w:rPr>
          <w:rStyle w:val="BodyTextChar"/>
        </w:rPr>
        <w:t xml:space="preserve">shows an example of </w:t>
      </w:r>
      <w:r w:rsidR="007D5505">
        <w:rPr>
          <w:rStyle w:val="BodyTextChar"/>
        </w:rPr>
        <w:t xml:space="preserve">multiple serving cells </w:t>
      </w:r>
      <w:r w:rsidR="00C77B01">
        <w:rPr>
          <w:rStyle w:val="BodyTextChar"/>
        </w:rPr>
        <w:t>for</w:t>
      </w:r>
      <w:r w:rsidR="00C77B01" w:rsidRPr="00DF0091">
        <w:rPr>
          <w:rStyle w:val="BodyTextChar"/>
        </w:rPr>
        <w:t xml:space="preserve"> an operating bandwidth of 80 </w:t>
      </w:r>
      <w:proofErr w:type="spellStart"/>
      <w:r w:rsidR="00C77B01" w:rsidRPr="00DF0091">
        <w:rPr>
          <w:rStyle w:val="BodyTextChar"/>
        </w:rPr>
        <w:t>MHz.</w:t>
      </w:r>
      <w:proofErr w:type="spellEnd"/>
      <w:r w:rsidR="00C77B01" w:rsidRPr="00DF0091">
        <w:rPr>
          <w:rStyle w:val="BodyTextChar"/>
        </w:rPr>
        <w:t xml:space="preserve"> </w:t>
      </w:r>
      <w:r w:rsidR="00C77B01">
        <w:rPr>
          <w:rStyle w:val="BodyTextChar"/>
        </w:rPr>
        <w:t>The</w:t>
      </w:r>
      <w:r w:rsidR="00C77B01" w:rsidRPr="00DF0091">
        <w:rPr>
          <w:rStyle w:val="BodyTextChar"/>
        </w:rPr>
        <w:t xml:space="preserve"> UE is configured with four </w:t>
      </w:r>
      <w:r w:rsidR="00C77B01" w:rsidRPr="00DF0091">
        <w:rPr>
          <w:rStyle w:val="BodyTextChar"/>
        </w:rPr>
        <w:lastRenderedPageBreak/>
        <w:t>component carriers (CC’s) totalling 80 MHz which are activated prior to reception/transmission.</w:t>
      </w:r>
      <w:r w:rsidR="00C77B01" w:rsidRPr="00D94931">
        <w:t xml:space="preserve"> </w:t>
      </w:r>
      <w:r w:rsidR="007D5505">
        <w:t>As stated in the above</w:t>
      </w:r>
      <w:r>
        <w:t xml:space="preserve"> agreement</w:t>
      </w:r>
      <w:r w:rsidR="00C77B01" w:rsidRPr="00DF0091">
        <w:rPr>
          <w:rFonts w:eastAsia="PMingLiU" w:cs="Arial"/>
          <w:lang w:eastAsia="en-US"/>
        </w:rPr>
        <w:t xml:space="preserve">, LBT </w:t>
      </w:r>
      <w:r w:rsidR="007D5505">
        <w:rPr>
          <w:rFonts w:eastAsia="PMingLiU" w:cs="Arial"/>
          <w:lang w:eastAsia="en-US"/>
        </w:rPr>
        <w:t>is</w:t>
      </w:r>
      <w:r w:rsidR="00C77B01" w:rsidRPr="00DF0091">
        <w:rPr>
          <w:rFonts w:eastAsia="PMingLiU" w:cs="Arial"/>
          <w:lang w:eastAsia="en-US"/>
        </w:rPr>
        <w:t xml:space="preserve"> performed in units of 20 </w:t>
      </w:r>
      <w:proofErr w:type="spellStart"/>
      <w:r w:rsidR="00C77B01" w:rsidRPr="00DF0091">
        <w:rPr>
          <w:rFonts w:eastAsia="PMingLiU" w:cs="Arial"/>
          <w:lang w:eastAsia="en-US"/>
        </w:rPr>
        <w:t>MH</w:t>
      </w:r>
      <w:r w:rsidR="00C77B01">
        <w:rPr>
          <w:rFonts w:eastAsia="PMingLiU" w:cs="Arial"/>
          <w:lang w:eastAsia="en-US"/>
        </w:rPr>
        <w:t>z.</w:t>
      </w:r>
      <w:proofErr w:type="spellEnd"/>
      <w:r w:rsidR="00C77B01" w:rsidRPr="00C77B01">
        <w:rPr>
          <w:rFonts w:eastAsia="PMingLiU" w:cs="Arial"/>
          <w:lang w:eastAsia="en-US"/>
        </w:rPr>
        <w:t xml:space="preserve"> </w:t>
      </w:r>
      <w:r w:rsidR="00C77B01">
        <w:rPr>
          <w:rFonts w:eastAsia="PMingLiU" w:cs="Arial"/>
          <w:lang w:eastAsia="en-US"/>
        </w:rPr>
        <w:t>Hence, it makes sense to configure the individual CC’s with a bandwidth of 20 MHz such that the CC bandwidth and the LBT bandwidth are one and the same.</w:t>
      </w:r>
    </w:p>
    <w:p w14:paraId="5250D623" w14:textId="77777777" w:rsidR="00C77B01" w:rsidRDefault="00C77B01" w:rsidP="008455CB">
      <w:pPr>
        <w:keepNext/>
        <w:overflowPunct/>
        <w:autoSpaceDE/>
        <w:autoSpaceDN/>
        <w:adjustRightInd/>
        <w:spacing w:after="0"/>
        <w:jc w:val="center"/>
        <w:textAlignment w:val="auto"/>
        <w:rPr>
          <w:rFonts w:cs="Arial"/>
          <w:noProof/>
        </w:rPr>
      </w:pPr>
    </w:p>
    <w:p w14:paraId="00ABF17D" w14:textId="0C8B2D2D" w:rsidR="008455CB" w:rsidRPr="00DF0091" w:rsidRDefault="008455CB" w:rsidP="008455CB">
      <w:pPr>
        <w:keepNext/>
        <w:overflowPunct/>
        <w:autoSpaceDE/>
        <w:autoSpaceDN/>
        <w:adjustRightInd/>
        <w:spacing w:after="0"/>
        <w:jc w:val="center"/>
        <w:textAlignment w:val="auto"/>
        <w:rPr>
          <w:rFonts w:ascii="Arial" w:eastAsia="PMingLiU" w:hAnsi="Arial" w:cs="Arial"/>
          <w:lang w:eastAsia="en-US"/>
        </w:rPr>
      </w:pPr>
      <w:r>
        <w:rPr>
          <w:rFonts w:cs="Arial"/>
          <w:noProof/>
        </w:rPr>
        <w:drawing>
          <wp:inline distT="0" distB="0" distL="0" distR="0" wp14:anchorId="624A086A" wp14:editId="4AA3E9AE">
            <wp:extent cx="2150021" cy="2070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951" r="60795" b="13753"/>
                    <a:stretch/>
                  </pic:blipFill>
                  <pic:spPr bwMode="auto">
                    <a:xfrm>
                      <a:off x="0" y="0"/>
                      <a:ext cx="2150959" cy="2071003"/>
                    </a:xfrm>
                    <a:prstGeom prst="rect">
                      <a:avLst/>
                    </a:prstGeom>
                    <a:noFill/>
                    <a:ln>
                      <a:noFill/>
                    </a:ln>
                    <a:extLst>
                      <a:ext uri="{53640926-AAD7-44D8-BBD7-CCE9431645EC}">
                        <a14:shadowObscured xmlns:a14="http://schemas.microsoft.com/office/drawing/2010/main"/>
                      </a:ext>
                    </a:extLst>
                  </pic:spPr>
                </pic:pic>
              </a:graphicData>
            </a:graphic>
          </wp:inline>
        </w:drawing>
      </w:r>
    </w:p>
    <w:p w14:paraId="7B408CC7" w14:textId="06D72D8C" w:rsidR="008455CB" w:rsidRPr="009E650C" w:rsidRDefault="008455CB" w:rsidP="009E650C">
      <w:pPr>
        <w:overflowPunct/>
        <w:autoSpaceDE/>
        <w:autoSpaceDN/>
        <w:adjustRightInd/>
        <w:spacing w:before="120" w:after="120"/>
        <w:jc w:val="center"/>
        <w:textAlignment w:val="auto"/>
        <w:rPr>
          <w:rStyle w:val="BodyTextChar"/>
          <w:rFonts w:eastAsia="PMingLiU" w:cs="Arial"/>
          <w:b/>
          <w:bCs/>
          <w:lang w:val="en-US" w:eastAsia="en-US"/>
        </w:rPr>
      </w:pPr>
      <w:bookmarkStart w:id="3" w:name="_Ref524529042"/>
      <w:r w:rsidRPr="008455CB">
        <w:rPr>
          <w:rFonts w:ascii="Arial" w:eastAsia="PMingLiU" w:hAnsi="Arial" w:cs="Arial"/>
          <w:b/>
          <w:bCs/>
          <w:lang w:val="en-US" w:eastAsia="en-US"/>
        </w:rPr>
        <w:t xml:space="preserve">Figure </w:t>
      </w:r>
      <w:r w:rsidRPr="008455CB">
        <w:rPr>
          <w:rFonts w:ascii="Arial" w:eastAsia="PMingLiU" w:hAnsi="Arial" w:cs="Arial"/>
          <w:b/>
          <w:bCs/>
          <w:noProof/>
          <w:lang w:val="en-US" w:eastAsia="en-US"/>
        </w:rPr>
        <w:fldChar w:fldCharType="begin"/>
      </w:r>
      <w:r w:rsidRPr="008455CB">
        <w:rPr>
          <w:rFonts w:ascii="Arial" w:eastAsia="PMingLiU" w:hAnsi="Arial" w:cs="Arial"/>
          <w:b/>
          <w:bCs/>
          <w:noProof/>
          <w:lang w:val="en-US" w:eastAsia="en-US"/>
        </w:rPr>
        <w:instrText xml:space="preserve"> SEQ Figure \* ARABIC </w:instrText>
      </w:r>
      <w:r w:rsidRPr="008455CB">
        <w:rPr>
          <w:rFonts w:ascii="Arial" w:eastAsia="PMingLiU" w:hAnsi="Arial" w:cs="Arial"/>
          <w:b/>
          <w:bCs/>
          <w:noProof/>
          <w:lang w:val="en-US" w:eastAsia="en-US"/>
        </w:rPr>
        <w:fldChar w:fldCharType="separate"/>
      </w:r>
      <w:r w:rsidR="008A6BFA">
        <w:rPr>
          <w:rFonts w:ascii="Arial" w:eastAsia="PMingLiU" w:hAnsi="Arial" w:cs="Arial"/>
          <w:b/>
          <w:bCs/>
          <w:noProof/>
          <w:lang w:val="en-US" w:eastAsia="en-US"/>
        </w:rPr>
        <w:t>1</w:t>
      </w:r>
      <w:r w:rsidRPr="008455CB">
        <w:rPr>
          <w:rFonts w:ascii="Arial" w:eastAsia="PMingLiU" w:hAnsi="Arial" w:cs="Arial"/>
          <w:b/>
          <w:bCs/>
          <w:noProof/>
          <w:lang w:val="en-US" w:eastAsia="en-US"/>
        </w:rPr>
        <w:fldChar w:fldCharType="end"/>
      </w:r>
      <w:bookmarkEnd w:id="3"/>
      <w:r w:rsidRPr="008455CB">
        <w:rPr>
          <w:rFonts w:ascii="Arial" w:eastAsia="PMingLiU" w:hAnsi="Arial" w:cs="Arial"/>
          <w:b/>
          <w:bCs/>
          <w:lang w:val="en-US" w:eastAsia="en-US"/>
        </w:rPr>
        <w:t xml:space="preserve">: Wideband operation </w:t>
      </w:r>
      <w:r w:rsidR="00C77B01">
        <w:rPr>
          <w:rFonts w:ascii="Arial" w:eastAsia="PMingLiU" w:hAnsi="Arial" w:cs="Arial"/>
          <w:b/>
          <w:bCs/>
          <w:lang w:val="en-US" w:eastAsia="en-US"/>
        </w:rPr>
        <w:t xml:space="preserve">based on </w:t>
      </w:r>
      <w:r w:rsidR="008A6BFA">
        <w:rPr>
          <w:rFonts w:ascii="Arial" w:eastAsia="PMingLiU" w:hAnsi="Arial" w:cs="Arial"/>
          <w:b/>
          <w:bCs/>
          <w:lang w:val="en-US" w:eastAsia="en-US"/>
        </w:rPr>
        <w:t>configuration of multipole serving cells</w:t>
      </w:r>
    </w:p>
    <w:p w14:paraId="2AE75BCC" w14:textId="66A972B6" w:rsidR="00C77B01" w:rsidRDefault="00C77B01" w:rsidP="00C77B01">
      <w:pPr>
        <w:pStyle w:val="BodyText"/>
      </w:pPr>
      <w:r>
        <w:t xml:space="preserve">One claimed drawback of </w:t>
      </w:r>
      <w:r w:rsidR="007D5505">
        <w:t>this approach is</w:t>
      </w:r>
      <w:r>
        <w:t xml:space="preserve"> that each CC has a guard band defined by RAN4 which reduces the spectral utilization efficiency compared to </w:t>
      </w:r>
      <w:r w:rsidR="007D5505">
        <w:t xml:space="preserve">transmission </w:t>
      </w:r>
      <w:r w:rsidR="008A6BFA">
        <w:t>on</w:t>
      </w:r>
      <w:r w:rsidR="007D5505">
        <w:t xml:space="preserve"> </w:t>
      </w:r>
      <w:r w:rsidR="008A6BFA">
        <w:t xml:space="preserve">a </w:t>
      </w:r>
      <w:r w:rsidR="007D5505">
        <w:t>single wideband CC</w:t>
      </w:r>
      <w:r>
        <w:t xml:space="preserve">. However, from RAN4 perspective there is no requirement that the guard bands between two or more </w:t>
      </w:r>
      <w:r w:rsidRPr="00D94931">
        <w:rPr>
          <w:i/>
        </w:rPr>
        <w:t>contiguous</w:t>
      </w:r>
      <w:r>
        <w:t xml:space="preserve"> </w:t>
      </w:r>
      <w:r w:rsidR="007D5505">
        <w:t xml:space="preserve">component </w:t>
      </w:r>
      <w:r>
        <w:t xml:space="preserve">carriers are left empty. Hence, optimizations may be considered whereby the transmitting device uses the guard REs and the receiving device assumes that </w:t>
      </w:r>
      <w:proofErr w:type="spellStart"/>
      <w:r>
        <w:t>PxSCH</w:t>
      </w:r>
      <w:proofErr w:type="spellEnd"/>
      <w:r>
        <w:t xml:space="preserve"> is mapped to </w:t>
      </w:r>
      <w:proofErr w:type="gramStart"/>
      <w:r>
        <w:t xml:space="preserve">these </w:t>
      </w:r>
      <w:proofErr w:type="spellStart"/>
      <w:r>
        <w:t>REs</w:t>
      </w:r>
      <w:proofErr w:type="gramEnd"/>
      <w:r>
        <w:t>.</w:t>
      </w:r>
      <w:proofErr w:type="spellEnd"/>
    </w:p>
    <w:p w14:paraId="08B969A5" w14:textId="4BA80724" w:rsidR="00C77B01" w:rsidRDefault="00C77B01" w:rsidP="00C77B01">
      <w:pPr>
        <w:pStyle w:val="Proposal"/>
      </w:pPr>
      <w:bookmarkStart w:id="4" w:name="_Toc534809270"/>
      <w:r>
        <w:t xml:space="preserve">For </w:t>
      </w:r>
      <w:r w:rsidR="007D5505">
        <w:t xml:space="preserve">wideband operation </w:t>
      </w:r>
      <w:r w:rsidR="008A6BFA">
        <w:t xml:space="preserve">supported with </w:t>
      </w:r>
      <w:r w:rsidR="007D5505">
        <w:t>multiple serving cells</w:t>
      </w:r>
      <w:r>
        <w:t xml:space="preserve">, </w:t>
      </w:r>
      <w:r w:rsidR="007D5505">
        <w:t>support utilization of</w:t>
      </w:r>
      <w:r>
        <w:t xml:space="preserve"> the guard bands between two or more contiguous CCs for </w:t>
      </w:r>
      <w:proofErr w:type="spellStart"/>
      <w:r>
        <w:t>PxSCH</w:t>
      </w:r>
      <w:proofErr w:type="spellEnd"/>
      <w:r>
        <w:t xml:space="preserve"> </w:t>
      </w:r>
      <w:r w:rsidR="008A6BFA">
        <w:t>transmission and reception</w:t>
      </w:r>
      <w:r w:rsidR="007D5505">
        <w:t xml:space="preserve"> </w:t>
      </w:r>
      <w:r>
        <w:t>(x = D for downlink and = U for uplink).</w:t>
      </w:r>
      <w:bookmarkEnd w:id="4"/>
    </w:p>
    <w:p w14:paraId="43DB3D07" w14:textId="3B23E6CB" w:rsidR="007D5505" w:rsidRDefault="00194E3D" w:rsidP="008A6BFA">
      <w:pPr>
        <w:pStyle w:val="Heading1"/>
        <w:rPr>
          <w:lang w:eastAsia="en-US"/>
        </w:rPr>
      </w:pPr>
      <w:r>
        <w:rPr>
          <w:rStyle w:val="BodyTextChar"/>
          <w:lang w:eastAsia="en-US"/>
        </w:rPr>
        <w:t>2</w:t>
      </w:r>
      <w:r w:rsidR="009E650C">
        <w:rPr>
          <w:rStyle w:val="BodyTextChar"/>
          <w:lang w:eastAsia="en-US"/>
        </w:rPr>
        <w:tab/>
        <w:t xml:space="preserve">Single </w:t>
      </w:r>
      <w:r w:rsidR="005802B4">
        <w:rPr>
          <w:rStyle w:val="BodyTextChar"/>
          <w:lang w:eastAsia="en-US"/>
        </w:rPr>
        <w:t>Serving Cell</w:t>
      </w:r>
    </w:p>
    <w:p w14:paraId="6D856B5C" w14:textId="49D1E159" w:rsidR="009E650C" w:rsidRDefault="008A6BFA" w:rsidP="005802B4">
      <w:pPr>
        <w:pStyle w:val="BodyText"/>
        <w:rPr>
          <w:rStyle w:val="BodyTextChar"/>
          <w:lang w:eastAsia="en-US"/>
        </w:rPr>
      </w:pPr>
      <w:r>
        <w:t xml:space="preserve">As stated in the above WID objective, </w:t>
      </w:r>
      <w:r w:rsidR="00BB2087">
        <w:t>support of wideband operation with a single serving cell</w:t>
      </w:r>
      <w:r w:rsidR="008D7C00">
        <w:t xml:space="preserve"> &gt;</w:t>
      </w:r>
      <w:r w:rsidR="00BB2087">
        <w:t xml:space="preserve">20 MHz is subject to RAN2 and RAN4 </w:t>
      </w:r>
      <w:r w:rsidR="00BB2087" w:rsidRPr="008D7C00">
        <w:t>feedback</w:t>
      </w:r>
      <w:r w:rsidR="00B06002">
        <w:t xml:space="preserve">. The feedback requested from RAN4 and RAN2 is based on </w:t>
      </w:r>
      <w:r w:rsidR="008D7C00">
        <w:t xml:space="preserve">the </w:t>
      </w:r>
      <w:r w:rsidR="009E650C">
        <w:rPr>
          <w:rStyle w:val="BodyTextChar"/>
          <w:lang w:eastAsia="en-US"/>
        </w:rPr>
        <w:t xml:space="preserve">LS </w:t>
      </w:r>
      <w:r w:rsidR="008D7C00">
        <w:rPr>
          <w:rStyle w:val="BodyTextChar"/>
          <w:lang w:eastAsia="en-US"/>
        </w:rPr>
        <w:t xml:space="preserve">that </w:t>
      </w:r>
      <w:r w:rsidR="009E650C">
        <w:rPr>
          <w:rStyle w:val="BodyTextChar"/>
          <w:lang w:eastAsia="en-US"/>
        </w:rPr>
        <w:t xml:space="preserve">was sent </w:t>
      </w:r>
      <w:r w:rsidR="008D7C00">
        <w:rPr>
          <w:rStyle w:val="BodyTextChar"/>
          <w:lang w:eastAsia="en-US"/>
        </w:rPr>
        <w:t xml:space="preserve">during the SI phase </w:t>
      </w:r>
      <w:r w:rsidR="008D7C00">
        <w:rPr>
          <w:rStyle w:val="BodyTextChar"/>
          <w:lang w:eastAsia="en-US"/>
        </w:rPr>
        <w:fldChar w:fldCharType="begin"/>
      </w:r>
      <w:r w:rsidR="008D7C00">
        <w:rPr>
          <w:rStyle w:val="BodyTextChar"/>
          <w:lang w:eastAsia="en-US"/>
        </w:rPr>
        <w:instrText xml:space="preserve"> REF _Ref525666947 \r \h </w:instrText>
      </w:r>
      <w:r w:rsidR="008D7C00">
        <w:rPr>
          <w:rStyle w:val="BodyTextChar"/>
          <w:lang w:eastAsia="en-US"/>
        </w:rPr>
      </w:r>
      <w:r w:rsidR="008D7C00">
        <w:rPr>
          <w:rStyle w:val="BodyTextChar"/>
          <w:lang w:eastAsia="en-US"/>
        </w:rPr>
        <w:fldChar w:fldCharType="separate"/>
      </w:r>
      <w:r w:rsidR="00B06002">
        <w:rPr>
          <w:rStyle w:val="BodyTextChar"/>
          <w:lang w:eastAsia="en-US"/>
        </w:rPr>
        <w:t>[3]</w:t>
      </w:r>
      <w:r w:rsidR="008D7C00">
        <w:rPr>
          <w:rStyle w:val="BodyTextChar"/>
          <w:lang w:eastAsia="en-US"/>
        </w:rPr>
        <w:fldChar w:fldCharType="end"/>
      </w:r>
      <w:r w:rsidR="00B06002">
        <w:rPr>
          <w:rStyle w:val="BodyTextChar"/>
          <w:lang w:eastAsia="en-US"/>
        </w:rPr>
        <w:t xml:space="preserve">. In this LS, the various options in the above agreement (Options 1a,1b, 2, and 3) are listed. </w:t>
      </w:r>
      <w:r w:rsidR="009E650C">
        <w:rPr>
          <w:rStyle w:val="BodyTextChar"/>
          <w:lang w:eastAsia="en-US"/>
        </w:rPr>
        <w:t xml:space="preserve">From a RAN2 perspective the key consideration in assessing the various options is whether </w:t>
      </w:r>
      <w:r w:rsidR="00F6666F">
        <w:rPr>
          <w:rStyle w:val="BodyTextChar"/>
          <w:lang w:eastAsia="en-US"/>
        </w:rPr>
        <w:t>multiple active BWPs are to be supported (Rel-15 supports only single active BWP)</w:t>
      </w:r>
      <w:r w:rsidR="009E650C">
        <w:rPr>
          <w:rStyle w:val="BodyTextChar"/>
          <w:lang w:eastAsia="en-US"/>
        </w:rPr>
        <w:t xml:space="preserve">. From a RAN4 perspective, the key consideration in assessing the various options is whether contiguous </w:t>
      </w:r>
      <w:r w:rsidR="00DE5911">
        <w:rPr>
          <w:rStyle w:val="BodyTextChar"/>
          <w:lang w:eastAsia="en-US"/>
        </w:rPr>
        <w:t xml:space="preserve">20 MHz </w:t>
      </w:r>
      <w:r w:rsidR="009E650C">
        <w:rPr>
          <w:rStyle w:val="BodyTextChar"/>
          <w:lang w:eastAsia="en-US"/>
        </w:rPr>
        <w:t>LBT sub-bands are always</w:t>
      </w:r>
      <w:r w:rsidR="00DE5911">
        <w:rPr>
          <w:rStyle w:val="BodyTextChar"/>
          <w:lang w:eastAsia="en-US"/>
        </w:rPr>
        <w:t xml:space="preserve"> used or </w:t>
      </w:r>
      <w:r w:rsidR="00F6666F">
        <w:rPr>
          <w:rStyle w:val="BodyTextChar"/>
          <w:lang w:eastAsia="en-US"/>
        </w:rPr>
        <w:t xml:space="preserve">if requirements for </w:t>
      </w:r>
      <w:r w:rsidR="00DE5911">
        <w:rPr>
          <w:rStyle w:val="BodyTextChar"/>
          <w:lang w:eastAsia="en-US"/>
        </w:rPr>
        <w:t>non-contiguous LBT sub-bands</w:t>
      </w:r>
      <w:r w:rsidR="00F6666F">
        <w:rPr>
          <w:rStyle w:val="BodyTextChar"/>
          <w:lang w:eastAsia="en-US"/>
        </w:rPr>
        <w:t xml:space="preserve"> are specified</w:t>
      </w:r>
      <w:r w:rsidR="00DE5911">
        <w:rPr>
          <w:rStyle w:val="BodyTextChar"/>
          <w:lang w:eastAsia="en-US"/>
        </w:rPr>
        <w:t>. The following table serves to categorize the various options.</w:t>
      </w:r>
    </w:p>
    <w:p w14:paraId="66670447" w14:textId="5D460A13" w:rsidR="00C77B01" w:rsidRPr="00B06002" w:rsidRDefault="00DE5911" w:rsidP="00B06002">
      <w:pPr>
        <w:pStyle w:val="Caption"/>
        <w:rPr>
          <w:rStyle w:val="BodyTextChar"/>
          <w:rFonts w:ascii="Times New Roman" w:hAnsi="Times New Roman"/>
          <w:lang w:eastAsia="en-GB"/>
        </w:rPr>
      </w:pPr>
      <w:r w:rsidRPr="00B06002">
        <w:t xml:space="preserve">Table </w:t>
      </w:r>
      <w:r w:rsidR="008327BF">
        <w:fldChar w:fldCharType="begin"/>
      </w:r>
      <w:r w:rsidR="008327BF">
        <w:instrText xml:space="preserve"> SEQ Table \* ARABIC </w:instrText>
      </w:r>
      <w:r w:rsidR="008327BF">
        <w:fldChar w:fldCharType="separate"/>
      </w:r>
      <w:r w:rsidRPr="00B06002">
        <w:t>1</w:t>
      </w:r>
      <w:r w:rsidR="008327BF">
        <w:fldChar w:fldCharType="end"/>
      </w:r>
      <w:r w:rsidRPr="00B06002">
        <w:t xml:space="preserve">: </w:t>
      </w:r>
      <w:r w:rsidRPr="00B06002">
        <w:rPr>
          <w:rStyle w:val="BodyTextChar"/>
          <w:rFonts w:ascii="Times New Roman" w:hAnsi="Times New Roman"/>
          <w:lang w:eastAsia="en-GB"/>
        </w:rPr>
        <w:t>Categorization of single wideband carrie</w:t>
      </w:r>
      <w:r w:rsidR="00B06002">
        <w:rPr>
          <w:rStyle w:val="BodyTextChar"/>
          <w:rFonts w:ascii="Times New Roman" w:hAnsi="Times New Roman"/>
          <w:lang w:eastAsia="en-GB"/>
        </w:rPr>
        <w:t>r options</w:t>
      </w:r>
    </w:p>
    <w:tbl>
      <w:tblPr>
        <w:tblStyle w:val="TableGrid"/>
        <w:tblW w:w="0" w:type="auto"/>
        <w:jc w:val="center"/>
        <w:tblLook w:val="04A0" w:firstRow="1" w:lastRow="0" w:firstColumn="1" w:lastColumn="0" w:noHBand="0" w:noVBand="1"/>
      </w:tblPr>
      <w:tblGrid>
        <w:gridCol w:w="2245"/>
        <w:gridCol w:w="3060"/>
        <w:gridCol w:w="3330"/>
      </w:tblGrid>
      <w:tr w:rsidR="009E650C" w14:paraId="7F3B6C82" w14:textId="77777777" w:rsidTr="00DE5911">
        <w:trPr>
          <w:jc w:val="center"/>
        </w:trPr>
        <w:tc>
          <w:tcPr>
            <w:tcW w:w="2245" w:type="dxa"/>
          </w:tcPr>
          <w:p w14:paraId="4EDC0AA5" w14:textId="77777777" w:rsidR="009E650C" w:rsidRDefault="009E650C" w:rsidP="005802B4">
            <w:pPr>
              <w:pStyle w:val="BodyText"/>
              <w:rPr>
                <w:rStyle w:val="BodyTextChar"/>
                <w:lang w:eastAsia="en-US"/>
              </w:rPr>
            </w:pPr>
          </w:p>
        </w:tc>
        <w:tc>
          <w:tcPr>
            <w:tcW w:w="3060" w:type="dxa"/>
          </w:tcPr>
          <w:p w14:paraId="6A914A9C" w14:textId="3E44F15A" w:rsidR="009E650C" w:rsidRDefault="009E650C" w:rsidP="005802B4">
            <w:pPr>
              <w:pStyle w:val="BodyText"/>
              <w:rPr>
                <w:rStyle w:val="BodyTextChar"/>
                <w:lang w:eastAsia="en-US"/>
              </w:rPr>
            </w:pPr>
            <w:r>
              <w:rPr>
                <w:rStyle w:val="BodyTextChar"/>
                <w:lang w:eastAsia="en-US"/>
              </w:rPr>
              <w:t>Contiguous LBT Sub-band</w:t>
            </w:r>
            <w:r w:rsidR="00DE5911">
              <w:rPr>
                <w:rStyle w:val="BodyTextChar"/>
                <w:lang w:eastAsia="en-US"/>
              </w:rPr>
              <w:t>(s)</w:t>
            </w:r>
          </w:p>
        </w:tc>
        <w:tc>
          <w:tcPr>
            <w:tcW w:w="3330" w:type="dxa"/>
          </w:tcPr>
          <w:p w14:paraId="62E82760" w14:textId="7206D8A9" w:rsidR="009E650C" w:rsidRDefault="009E650C" w:rsidP="005802B4">
            <w:pPr>
              <w:pStyle w:val="BodyText"/>
              <w:rPr>
                <w:rStyle w:val="BodyTextChar"/>
                <w:lang w:eastAsia="en-US"/>
              </w:rPr>
            </w:pPr>
            <w:r>
              <w:rPr>
                <w:rStyle w:val="BodyTextChar"/>
                <w:lang w:eastAsia="en-US"/>
              </w:rPr>
              <w:t>Non-contiguous LBT Sub-band</w:t>
            </w:r>
            <w:r w:rsidR="00DE5911">
              <w:rPr>
                <w:rStyle w:val="BodyTextChar"/>
                <w:lang w:eastAsia="en-US"/>
              </w:rPr>
              <w:t>s</w:t>
            </w:r>
          </w:p>
        </w:tc>
      </w:tr>
      <w:tr w:rsidR="009E650C" w14:paraId="65B1477F" w14:textId="77777777" w:rsidTr="00DE5911">
        <w:trPr>
          <w:jc w:val="center"/>
        </w:trPr>
        <w:tc>
          <w:tcPr>
            <w:tcW w:w="2245" w:type="dxa"/>
          </w:tcPr>
          <w:p w14:paraId="25BEA0E1" w14:textId="348533B9" w:rsidR="009E650C" w:rsidRDefault="009E650C" w:rsidP="005802B4">
            <w:pPr>
              <w:pStyle w:val="BodyText"/>
              <w:rPr>
                <w:rStyle w:val="BodyTextChar"/>
                <w:lang w:eastAsia="en-US"/>
              </w:rPr>
            </w:pPr>
            <w:r>
              <w:rPr>
                <w:rStyle w:val="BodyTextChar"/>
                <w:lang w:eastAsia="en-US"/>
              </w:rPr>
              <w:t>Single Active BWP</w:t>
            </w:r>
          </w:p>
        </w:tc>
        <w:tc>
          <w:tcPr>
            <w:tcW w:w="3060" w:type="dxa"/>
          </w:tcPr>
          <w:p w14:paraId="1D2E8FB6" w14:textId="57C274DA" w:rsidR="009E650C" w:rsidRDefault="00DE5911" w:rsidP="005802B4">
            <w:pPr>
              <w:pStyle w:val="BodyText"/>
              <w:jc w:val="center"/>
              <w:rPr>
                <w:rStyle w:val="BodyTextChar"/>
                <w:lang w:eastAsia="en-US"/>
              </w:rPr>
            </w:pPr>
            <w:r>
              <w:rPr>
                <w:rStyle w:val="BodyTextChar"/>
                <w:lang w:eastAsia="en-US"/>
              </w:rPr>
              <w:t>Option 2</w:t>
            </w:r>
          </w:p>
        </w:tc>
        <w:tc>
          <w:tcPr>
            <w:tcW w:w="3330" w:type="dxa"/>
          </w:tcPr>
          <w:p w14:paraId="1E4C06E5" w14:textId="063B27FD" w:rsidR="009E650C" w:rsidRDefault="00DE5911" w:rsidP="005802B4">
            <w:pPr>
              <w:pStyle w:val="BodyText"/>
              <w:jc w:val="center"/>
              <w:rPr>
                <w:rStyle w:val="BodyTextChar"/>
                <w:lang w:eastAsia="en-US"/>
              </w:rPr>
            </w:pPr>
            <w:r>
              <w:rPr>
                <w:rStyle w:val="BodyTextChar"/>
                <w:lang w:eastAsia="en-US"/>
              </w:rPr>
              <w:t>Option 3</w:t>
            </w:r>
          </w:p>
        </w:tc>
      </w:tr>
      <w:tr w:rsidR="009E650C" w14:paraId="56EB59E2" w14:textId="77777777" w:rsidTr="00DE5911">
        <w:trPr>
          <w:jc w:val="center"/>
        </w:trPr>
        <w:tc>
          <w:tcPr>
            <w:tcW w:w="2245" w:type="dxa"/>
          </w:tcPr>
          <w:p w14:paraId="5D10B7D7" w14:textId="5EA447E7" w:rsidR="009E650C" w:rsidRDefault="009E650C" w:rsidP="005802B4">
            <w:pPr>
              <w:pStyle w:val="BodyText"/>
              <w:rPr>
                <w:rStyle w:val="BodyTextChar"/>
                <w:lang w:eastAsia="en-US"/>
              </w:rPr>
            </w:pPr>
            <w:r>
              <w:rPr>
                <w:rStyle w:val="BodyTextChar"/>
                <w:lang w:eastAsia="en-US"/>
              </w:rPr>
              <w:t>Multiple Active BWP</w:t>
            </w:r>
          </w:p>
        </w:tc>
        <w:tc>
          <w:tcPr>
            <w:tcW w:w="3060" w:type="dxa"/>
          </w:tcPr>
          <w:p w14:paraId="656991BD" w14:textId="25FD25D6" w:rsidR="009E650C" w:rsidRDefault="00DE5911" w:rsidP="005802B4">
            <w:pPr>
              <w:pStyle w:val="BodyText"/>
              <w:jc w:val="center"/>
              <w:rPr>
                <w:rStyle w:val="BodyTextChar"/>
                <w:lang w:eastAsia="en-US"/>
              </w:rPr>
            </w:pPr>
            <w:r>
              <w:rPr>
                <w:rStyle w:val="BodyTextChar"/>
                <w:lang w:eastAsia="en-US"/>
              </w:rPr>
              <w:t>Option 1b</w:t>
            </w:r>
          </w:p>
        </w:tc>
        <w:tc>
          <w:tcPr>
            <w:tcW w:w="3330" w:type="dxa"/>
          </w:tcPr>
          <w:p w14:paraId="1E08E950" w14:textId="314BA907" w:rsidR="009E650C" w:rsidRDefault="00DE5911" w:rsidP="005802B4">
            <w:pPr>
              <w:pStyle w:val="BodyText"/>
              <w:jc w:val="center"/>
              <w:rPr>
                <w:rStyle w:val="BodyTextChar"/>
                <w:lang w:eastAsia="en-US"/>
              </w:rPr>
            </w:pPr>
            <w:r>
              <w:rPr>
                <w:rStyle w:val="BodyTextChar"/>
                <w:lang w:eastAsia="en-US"/>
              </w:rPr>
              <w:t>Option 1a</w:t>
            </w:r>
          </w:p>
        </w:tc>
      </w:tr>
    </w:tbl>
    <w:p w14:paraId="3FFE1325" w14:textId="4B279AEB" w:rsidR="009E650C" w:rsidRDefault="009E650C" w:rsidP="005802B4">
      <w:pPr>
        <w:pStyle w:val="BodyText"/>
        <w:rPr>
          <w:rStyle w:val="BodyTextChar"/>
          <w:lang w:eastAsia="en-US"/>
        </w:rPr>
      </w:pPr>
    </w:p>
    <w:p w14:paraId="4D4498C7" w14:textId="5BEF2E30" w:rsidR="00C77B01" w:rsidRDefault="00194E3D" w:rsidP="005802B4">
      <w:pPr>
        <w:pStyle w:val="Heading2"/>
        <w:rPr>
          <w:rStyle w:val="BodyTextChar"/>
          <w:lang w:eastAsia="en-US"/>
        </w:rPr>
      </w:pPr>
      <w:r>
        <w:rPr>
          <w:rStyle w:val="BodyTextChar"/>
          <w:lang w:eastAsia="en-US"/>
        </w:rPr>
        <w:t>2</w:t>
      </w:r>
      <w:r w:rsidR="00F6666F">
        <w:rPr>
          <w:rStyle w:val="BodyTextChar"/>
          <w:lang w:eastAsia="en-US"/>
        </w:rPr>
        <w:t>.1</w:t>
      </w:r>
      <w:r w:rsidR="00DE5911">
        <w:rPr>
          <w:rStyle w:val="BodyTextChar"/>
          <w:lang w:eastAsia="en-US"/>
        </w:rPr>
        <w:tab/>
        <w:t>Impact of Non-contiguous 20 MHz LBT Sub-bands</w:t>
      </w:r>
    </w:p>
    <w:p w14:paraId="0695395F" w14:textId="75BE8D80" w:rsidR="00C77B01" w:rsidRDefault="00F6666F" w:rsidP="005802B4">
      <w:pPr>
        <w:pStyle w:val="BodyText"/>
        <w:rPr>
          <w:rStyle w:val="BodyTextChar"/>
          <w:lang w:eastAsia="en-US"/>
        </w:rPr>
      </w:pPr>
      <w:r>
        <w:rPr>
          <w:rStyle w:val="BodyTextChar"/>
          <w:lang w:eastAsia="en-US"/>
        </w:rPr>
        <w:t xml:space="preserve">In the LS, the following </w:t>
      </w:r>
      <w:r w:rsidR="00D4280E">
        <w:rPr>
          <w:rStyle w:val="BodyTextChar"/>
          <w:lang w:eastAsia="en-US"/>
        </w:rPr>
        <w:t>diagram was included which illustrates that depending on the LBT outcome, a transmission may occupy all contiguous LBT sub-bands or a mix of contiguous and non-contiguous LBT sub-bands</w:t>
      </w:r>
      <w:r>
        <w:rPr>
          <w:rStyle w:val="BodyTextChar"/>
          <w:lang w:eastAsia="en-US"/>
        </w:rPr>
        <w:t>:</w:t>
      </w:r>
    </w:p>
    <w:p w14:paraId="4F80A26A" w14:textId="77777777" w:rsidR="00D4280E" w:rsidRDefault="00D4280E" w:rsidP="005802B4">
      <w:pPr>
        <w:pStyle w:val="BodyText"/>
        <w:rPr>
          <w:rStyle w:val="BodyTextChar"/>
          <w:lang w:eastAsia="en-US"/>
        </w:rPr>
      </w:pPr>
    </w:p>
    <w:p w14:paraId="6C0FE96C" w14:textId="77777777" w:rsidR="00D4280E" w:rsidRDefault="00D4280E" w:rsidP="005802B4">
      <w:pPr>
        <w:keepNext/>
        <w:jc w:val="center"/>
      </w:pPr>
      <w:r>
        <w:rPr>
          <w:noProof/>
        </w:rPr>
        <w:lastRenderedPageBreak/>
        <w:drawing>
          <wp:inline distT="0" distB="0" distL="0" distR="0" wp14:anchorId="38799B55" wp14:editId="2C48D60F">
            <wp:extent cx="4572000" cy="26243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3177BD75" w14:textId="5ACBEB4E" w:rsidR="00D4280E" w:rsidRPr="00A81CC6" w:rsidRDefault="00D4280E" w:rsidP="005802B4">
      <w:pPr>
        <w:pStyle w:val="Caption"/>
        <w:spacing w:after="240"/>
        <w:jc w:val="center"/>
        <w:rPr>
          <w:rStyle w:val="BodyTextChar"/>
          <w:rFonts w:cs="Arial"/>
          <w:lang w:eastAsia="en-GB"/>
        </w:rPr>
      </w:pPr>
      <w:r w:rsidRPr="003902CB">
        <w:rPr>
          <w:rFonts w:ascii="Arial" w:hAnsi="Arial" w:cs="Arial"/>
        </w:rPr>
        <w:t xml:space="preserve">Figure </w:t>
      </w:r>
      <w:r w:rsidRPr="003902CB">
        <w:rPr>
          <w:rFonts w:ascii="Arial" w:hAnsi="Arial" w:cs="Arial"/>
        </w:rPr>
        <w:fldChar w:fldCharType="begin"/>
      </w:r>
      <w:r w:rsidRPr="003902CB">
        <w:rPr>
          <w:rFonts w:ascii="Arial" w:hAnsi="Arial" w:cs="Arial"/>
        </w:rPr>
        <w:instrText xml:space="preserve"> SEQ Figure \* ARABIC </w:instrText>
      </w:r>
      <w:r w:rsidRPr="003902CB">
        <w:rPr>
          <w:rFonts w:ascii="Arial" w:hAnsi="Arial" w:cs="Arial"/>
        </w:rPr>
        <w:fldChar w:fldCharType="separate"/>
      </w:r>
      <w:r w:rsidRPr="003902CB">
        <w:rPr>
          <w:rFonts w:ascii="Arial" w:hAnsi="Arial" w:cs="Arial"/>
          <w:noProof/>
        </w:rPr>
        <w:t>1</w:t>
      </w:r>
      <w:r w:rsidRPr="003902CB">
        <w:rPr>
          <w:rFonts w:ascii="Arial" w:hAnsi="Arial" w:cs="Arial"/>
        </w:rPr>
        <w:fldChar w:fldCharType="end"/>
      </w:r>
      <w:r w:rsidRPr="003902CB">
        <w:rPr>
          <w:rFonts w:ascii="Arial" w:hAnsi="Arial" w:cs="Arial"/>
        </w:rPr>
        <w:t xml:space="preserve">: </w:t>
      </w:r>
      <w:r w:rsidR="00F6666F">
        <w:rPr>
          <w:rFonts w:ascii="Arial" w:hAnsi="Arial" w:cs="Arial"/>
        </w:rPr>
        <w:t>Single w</w:t>
      </w:r>
      <w:r w:rsidRPr="003902CB">
        <w:rPr>
          <w:rFonts w:ascii="Arial" w:hAnsi="Arial" w:cs="Arial"/>
        </w:rPr>
        <w:t>ideband carrier operation for NR-U</w:t>
      </w:r>
      <w:r>
        <w:rPr>
          <w:rFonts w:ascii="Arial" w:hAnsi="Arial" w:cs="Arial"/>
        </w:rPr>
        <w:t xml:space="preserve"> with LBT performed on a 20 MHz basis in each “LBT sub-band.” In this example, </w:t>
      </w:r>
      <w:r w:rsidR="008961F9">
        <w:rPr>
          <w:rFonts w:ascii="Arial" w:hAnsi="Arial" w:cs="Arial"/>
        </w:rPr>
        <w:t>CCA</w:t>
      </w:r>
      <w:r>
        <w:rPr>
          <w:rFonts w:ascii="Arial" w:hAnsi="Arial" w:cs="Arial"/>
        </w:rPr>
        <w:t xml:space="preserve"> fails in 1</w:t>
      </w:r>
      <w:r w:rsidR="00F6666F">
        <w:rPr>
          <w:rFonts w:ascii="Arial" w:hAnsi="Arial" w:cs="Arial"/>
        </w:rPr>
        <w:t xml:space="preserve"> out of the 4 defined LBT sub-bands.</w:t>
      </w:r>
    </w:p>
    <w:p w14:paraId="3C483A1B" w14:textId="24A8FF01" w:rsidR="00F6666F" w:rsidRDefault="00F6666F" w:rsidP="005802B4">
      <w:pPr>
        <w:pStyle w:val="BodyText"/>
        <w:rPr>
          <w:rStyle w:val="BodyTextChar"/>
          <w:lang w:eastAsia="en-US"/>
        </w:rPr>
      </w:pPr>
      <w:r>
        <w:rPr>
          <w:rStyle w:val="BodyTextChar"/>
          <w:lang w:eastAsia="en-US"/>
        </w:rPr>
        <w:t>RAN4 has provided an initial reply to the LS, and the main part of the response is the following:</w:t>
      </w:r>
    </w:p>
    <w:p w14:paraId="2953C3FD" w14:textId="77777777" w:rsidR="00F6666F" w:rsidRPr="00F6666F" w:rsidRDefault="00F6666F" w:rsidP="00F6666F">
      <w:pPr>
        <w:ind w:left="360"/>
        <w:rPr>
          <w:i/>
          <w:lang w:val="en-US"/>
        </w:rPr>
      </w:pPr>
      <w:r w:rsidRPr="00F6666F">
        <w:rPr>
          <w:i/>
          <w:lang w:val="en-US"/>
        </w:rPr>
        <w:t xml:space="preserve">New RF requirements would be needed for transmission options as described in RAN1 LS, such as: </w:t>
      </w:r>
    </w:p>
    <w:p w14:paraId="0D928C98" w14:textId="77777777" w:rsidR="00F6666F" w:rsidRPr="00F6666F" w:rsidRDefault="00F6666F" w:rsidP="00F6666F">
      <w:pPr>
        <w:numPr>
          <w:ilvl w:val="0"/>
          <w:numId w:val="28"/>
        </w:numPr>
        <w:overflowPunct/>
        <w:autoSpaceDE/>
        <w:autoSpaceDN/>
        <w:adjustRightInd/>
        <w:spacing w:after="0"/>
        <w:ind w:left="1080"/>
        <w:textAlignment w:val="auto"/>
        <w:rPr>
          <w:i/>
          <w:lang w:val="en-US"/>
        </w:rPr>
      </w:pPr>
      <w:r w:rsidRPr="00F6666F">
        <w:rPr>
          <w:i/>
          <w:lang w:val="en-US"/>
        </w:rPr>
        <w:t>In-carrier leakage and blocking requirement: this will be required at the “gap(s)” where CCA fails.</w:t>
      </w:r>
    </w:p>
    <w:p w14:paraId="4A2858DE" w14:textId="77204681" w:rsidR="00F6666F" w:rsidRPr="00F6666F" w:rsidRDefault="00F6666F" w:rsidP="00F6666F">
      <w:pPr>
        <w:numPr>
          <w:ilvl w:val="0"/>
          <w:numId w:val="28"/>
        </w:numPr>
        <w:overflowPunct/>
        <w:autoSpaceDE/>
        <w:autoSpaceDN/>
        <w:adjustRightInd/>
        <w:spacing w:after="0"/>
        <w:ind w:left="1080"/>
        <w:textAlignment w:val="auto"/>
        <w:rPr>
          <w:i/>
          <w:lang w:val="en-US"/>
        </w:rPr>
      </w:pPr>
      <w:r w:rsidRPr="00F6666F">
        <w:rPr>
          <w:i/>
          <w:lang w:val="en-US"/>
        </w:rPr>
        <w:t>“Out-of-BWP” (however within the wideband carrier) leakage requirement: this may be required at the edges of BWP within the wideband carrier bandwidth.</w:t>
      </w:r>
    </w:p>
    <w:p w14:paraId="2C3DBD39" w14:textId="77777777" w:rsidR="00F6666F" w:rsidRPr="00F6666F" w:rsidRDefault="00F6666F" w:rsidP="00F6666F">
      <w:pPr>
        <w:overflowPunct/>
        <w:autoSpaceDE/>
        <w:autoSpaceDN/>
        <w:adjustRightInd/>
        <w:spacing w:after="0"/>
        <w:ind w:left="1080"/>
        <w:textAlignment w:val="auto"/>
        <w:rPr>
          <w:i/>
          <w:lang w:val="en-US"/>
        </w:rPr>
      </w:pPr>
    </w:p>
    <w:p w14:paraId="024B99B1" w14:textId="17607D87" w:rsidR="00F6666F" w:rsidRPr="00F6666F" w:rsidRDefault="00F6666F" w:rsidP="00F6666F">
      <w:pPr>
        <w:pStyle w:val="BodyText"/>
        <w:ind w:left="360"/>
        <w:rPr>
          <w:rStyle w:val="BodyTextChar"/>
          <w:rFonts w:ascii="Times New Roman" w:hAnsi="Times New Roman"/>
          <w:i/>
          <w:lang w:eastAsia="en-US"/>
        </w:rPr>
      </w:pPr>
      <w:r w:rsidRPr="00F6666F">
        <w:rPr>
          <w:rFonts w:ascii="Times New Roman" w:hAnsi="Times New Roman"/>
          <w:i/>
          <w:lang w:val="en-US"/>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w:t>
      </w:r>
    </w:p>
    <w:p w14:paraId="3643BD15" w14:textId="7A84DAB7" w:rsidR="00F6666F" w:rsidRDefault="008A30F9" w:rsidP="005802B4">
      <w:pPr>
        <w:pStyle w:val="BodyText"/>
        <w:rPr>
          <w:rStyle w:val="BodyTextChar"/>
          <w:lang w:eastAsia="en-US"/>
        </w:rPr>
      </w:pPr>
      <w:r>
        <w:rPr>
          <w:rStyle w:val="BodyTextChar"/>
          <w:lang w:eastAsia="en-US"/>
        </w:rPr>
        <w:t>Evidently, specifying RAN4 requirements for operation with non-contiguous LBT sub-bands is challenging, which makes Options 3 and 1a not attractive.</w:t>
      </w:r>
    </w:p>
    <w:p w14:paraId="1FF551D2" w14:textId="2D8D4422" w:rsidR="008A30F9" w:rsidRDefault="008A30F9" w:rsidP="005802B4">
      <w:pPr>
        <w:pStyle w:val="BodyText"/>
        <w:rPr>
          <w:rStyle w:val="BodyTextChar"/>
          <w:lang w:eastAsia="en-US"/>
        </w:rPr>
      </w:pPr>
      <w:r>
        <w:rPr>
          <w:rStyle w:val="BodyTextChar"/>
          <w:lang w:eastAsia="en-US"/>
        </w:rPr>
        <w:t>In addition</w:t>
      </w:r>
      <w:r w:rsidR="00A81CC6">
        <w:rPr>
          <w:rStyle w:val="BodyTextChar"/>
          <w:lang w:eastAsia="en-US"/>
        </w:rPr>
        <w:t>, we note that if</w:t>
      </w:r>
      <w:r w:rsidR="008961F9">
        <w:rPr>
          <w:rStyle w:val="BodyTextChar"/>
          <w:lang w:eastAsia="en-US"/>
        </w:rPr>
        <w:t xml:space="preserve"> clear channel assessment</w:t>
      </w:r>
      <w:r w:rsidR="00A81CC6">
        <w:rPr>
          <w:rStyle w:val="BodyTextChar"/>
          <w:lang w:eastAsia="en-US"/>
        </w:rPr>
        <w:t xml:space="preserve"> </w:t>
      </w:r>
      <w:r w:rsidR="008961F9">
        <w:rPr>
          <w:rStyle w:val="BodyTextChar"/>
          <w:lang w:eastAsia="en-US"/>
        </w:rPr>
        <w:t>(CCA)</w:t>
      </w:r>
      <w:r w:rsidR="00A81CC6">
        <w:rPr>
          <w:rStyle w:val="BodyTextChar"/>
          <w:lang w:eastAsia="en-US"/>
        </w:rPr>
        <w:t xml:space="preserve"> fails in any of the LBT sub-bands (e.g., the 3</w:t>
      </w:r>
      <w:r w:rsidR="00A81CC6" w:rsidRPr="00A81CC6">
        <w:rPr>
          <w:rStyle w:val="BodyTextChar"/>
          <w:vertAlign w:val="superscript"/>
          <w:lang w:eastAsia="en-US"/>
        </w:rPr>
        <w:t>rd</w:t>
      </w:r>
      <w:r w:rsidR="00A81CC6">
        <w:rPr>
          <w:rStyle w:val="BodyTextChar"/>
          <w:lang w:eastAsia="en-US"/>
        </w:rPr>
        <w:t xml:space="preserve"> sub-band as shown in the above figure), then the resulting spectral </w:t>
      </w:r>
      <w:r>
        <w:rPr>
          <w:rStyle w:val="BodyTextChar"/>
          <w:lang w:eastAsia="en-US"/>
        </w:rPr>
        <w:t>utilization (SU)</w:t>
      </w:r>
      <w:r w:rsidR="00A81CC6">
        <w:rPr>
          <w:rStyle w:val="BodyTextChar"/>
          <w:lang w:eastAsia="en-US"/>
        </w:rPr>
        <w:t xml:space="preserve"> of the remaining LBT sub-bands will automatically be reduced. </w:t>
      </w:r>
      <w:r w:rsidR="004A2BED">
        <w:rPr>
          <w:rStyle w:val="BodyTextChar"/>
          <w:lang w:eastAsia="en-US"/>
        </w:rPr>
        <w:t xml:space="preserve">In an 80 MHz wide carrier, the SU is 217 PRBs. However, in the above example, the </w:t>
      </w:r>
      <w:r>
        <w:rPr>
          <w:rStyle w:val="BodyTextChar"/>
          <w:lang w:eastAsia="en-US"/>
        </w:rPr>
        <w:t>SU will become 106 + 51 = 157 PRBs</w:t>
      </w:r>
      <w:r w:rsidR="004A2BED">
        <w:rPr>
          <w:rStyle w:val="BodyTextChar"/>
          <w:lang w:eastAsia="en-US"/>
        </w:rPr>
        <w:t xml:space="preserve">. This is only 4 more PRBs than </w:t>
      </w:r>
      <w:r>
        <w:rPr>
          <w:rStyle w:val="BodyTextChar"/>
          <w:lang w:eastAsia="en-US"/>
        </w:rPr>
        <w:t>would be utilized for the case of multiple serving cells</w:t>
      </w:r>
      <w:r w:rsidR="00A21CAA">
        <w:rPr>
          <w:rStyle w:val="BodyTextChar"/>
          <w:lang w:eastAsia="en-US"/>
        </w:rPr>
        <w:t xml:space="preserve">, where 3 out of 4 carriers are used (3 * 51 = 153 PRBs). </w:t>
      </w:r>
      <w:r w:rsidR="004A2BED">
        <w:rPr>
          <w:rStyle w:val="BodyTextChar"/>
          <w:lang w:eastAsia="en-US"/>
        </w:rPr>
        <w:t xml:space="preserve">If CCA failure happens in more than one LBT sub-band, then the resulting spectral utilization </w:t>
      </w:r>
      <w:r w:rsidR="00A21CAA">
        <w:rPr>
          <w:rStyle w:val="BodyTextChar"/>
          <w:lang w:eastAsia="en-US"/>
        </w:rPr>
        <w:t xml:space="preserve">for single wideband carrier operation </w:t>
      </w:r>
      <w:r w:rsidR="004A2BED">
        <w:rPr>
          <w:rStyle w:val="BodyTextChar"/>
          <w:lang w:eastAsia="en-US"/>
        </w:rPr>
        <w:t>is reduced even further.</w:t>
      </w:r>
      <w:r w:rsidR="00A21CAA">
        <w:rPr>
          <w:rStyle w:val="BodyTextChar"/>
          <w:lang w:eastAsia="en-US"/>
        </w:rPr>
        <w:t xml:space="preserve"> Hence, the claimed advantage of greater spectral efficiency for single wideband carrier operation quickly vanishes for operation with non-contiguous LBT sub-bands.</w:t>
      </w:r>
    </w:p>
    <w:p w14:paraId="184C1E17" w14:textId="354A117D" w:rsidR="004A2BED" w:rsidRDefault="00A21CAA" w:rsidP="005802B4">
      <w:pPr>
        <w:pStyle w:val="BodyText"/>
        <w:rPr>
          <w:rStyle w:val="BodyTextChar"/>
          <w:lang w:eastAsia="en-US"/>
        </w:rPr>
      </w:pPr>
      <w:r>
        <w:rPr>
          <w:rStyle w:val="BodyTextChar"/>
          <w:lang w:eastAsia="en-US"/>
        </w:rPr>
        <w:t>Based on this we propose the following:</w:t>
      </w:r>
    </w:p>
    <w:p w14:paraId="46B2E71B" w14:textId="2149BA1F" w:rsidR="00A21CAA" w:rsidRDefault="00233E9C" w:rsidP="005802B4">
      <w:pPr>
        <w:pStyle w:val="Proposal"/>
        <w:tabs>
          <w:tab w:val="num" w:pos="1304"/>
        </w:tabs>
        <w:ind w:left="1304" w:hanging="1304"/>
        <w:rPr>
          <w:lang w:val="en-US"/>
        </w:rPr>
      </w:pPr>
      <w:bookmarkStart w:id="5" w:name="_Toc534809271"/>
      <w:r>
        <w:rPr>
          <w:lang w:val="en-US"/>
        </w:rPr>
        <w:t>For wideband operation with a s</w:t>
      </w:r>
      <w:r w:rsidR="00A21CAA">
        <w:rPr>
          <w:lang w:val="en-US"/>
        </w:rPr>
        <w:t xml:space="preserve">ingle </w:t>
      </w:r>
      <w:r>
        <w:rPr>
          <w:lang w:val="en-US"/>
        </w:rPr>
        <w:t xml:space="preserve">serving cell, </w:t>
      </w:r>
      <w:r w:rsidR="000751B6">
        <w:rPr>
          <w:lang w:val="en-US"/>
        </w:rPr>
        <w:t xml:space="preserve">transmission on </w:t>
      </w:r>
      <w:r w:rsidR="00A21CAA">
        <w:rPr>
          <w:lang w:val="en-US"/>
        </w:rPr>
        <w:t xml:space="preserve">non-contiguous LBT sub-bands is not supported; hence Options 1a and 3 are </w:t>
      </w:r>
      <w:r w:rsidR="000751B6">
        <w:rPr>
          <w:lang w:val="en-US"/>
        </w:rPr>
        <w:t>not supported</w:t>
      </w:r>
      <w:r w:rsidR="00A21CAA">
        <w:rPr>
          <w:lang w:val="en-US"/>
        </w:rPr>
        <w:t xml:space="preserve"> for </w:t>
      </w:r>
      <w:r w:rsidR="002249A0">
        <w:rPr>
          <w:lang w:val="en-US"/>
        </w:rPr>
        <w:t>either</w:t>
      </w:r>
      <w:r w:rsidR="00A21CAA">
        <w:rPr>
          <w:lang w:val="en-US"/>
        </w:rPr>
        <w:t xml:space="preserve"> DL </w:t>
      </w:r>
      <w:r w:rsidR="002249A0">
        <w:rPr>
          <w:lang w:val="en-US"/>
        </w:rPr>
        <w:t>or</w:t>
      </w:r>
      <w:r w:rsidR="00A21CAA">
        <w:rPr>
          <w:lang w:val="en-US"/>
        </w:rPr>
        <w:t xml:space="preserve"> UL.</w:t>
      </w:r>
      <w:bookmarkEnd w:id="5"/>
    </w:p>
    <w:p w14:paraId="4D20342E" w14:textId="50CC25AB" w:rsidR="00DB14D1" w:rsidRDefault="00194E3D" w:rsidP="005802B4">
      <w:pPr>
        <w:pStyle w:val="Heading2"/>
      </w:pPr>
      <w:r>
        <w:lastRenderedPageBreak/>
        <w:t>2</w:t>
      </w:r>
      <w:r w:rsidR="00F6666F">
        <w:t>.2</w:t>
      </w:r>
      <w:r w:rsidR="00DB14D1">
        <w:tab/>
        <w:t>Puncturing/Rate Matching</w:t>
      </w:r>
    </w:p>
    <w:p w14:paraId="4FC1DA47" w14:textId="01D59EB2" w:rsidR="00666BE8" w:rsidRDefault="001D47A9" w:rsidP="005802B4">
      <w:pPr>
        <w:pStyle w:val="IvDInstructiontext"/>
        <w:jc w:val="both"/>
        <w:rPr>
          <w:rStyle w:val="IvDbodytextChar"/>
          <w:i w:val="0"/>
          <w:color w:val="auto"/>
          <w:sz w:val="20"/>
          <w:szCs w:val="20"/>
        </w:rPr>
      </w:pPr>
      <w:r>
        <w:rPr>
          <w:rStyle w:val="IvDbodytextChar"/>
          <w:i w:val="0"/>
          <w:color w:val="auto"/>
          <w:sz w:val="20"/>
          <w:szCs w:val="20"/>
        </w:rPr>
        <w:t xml:space="preserve">Another drawback with Option 3 is due to puncturing and/or rate matching concerns. </w:t>
      </w:r>
      <w:r w:rsidR="00666BE8">
        <w:rPr>
          <w:rStyle w:val="IvDbodytextChar"/>
          <w:i w:val="0"/>
          <w:color w:val="auto"/>
          <w:sz w:val="20"/>
          <w:szCs w:val="20"/>
        </w:rPr>
        <w:t xml:space="preserve">In NR, a series of transport block (TB) processing steps are required before a </w:t>
      </w:r>
      <w:proofErr w:type="spellStart"/>
      <w:r w:rsidR="00666BE8">
        <w:rPr>
          <w:rStyle w:val="IvDbodytextChar"/>
          <w:i w:val="0"/>
          <w:color w:val="auto"/>
          <w:sz w:val="20"/>
          <w:szCs w:val="20"/>
        </w:rPr>
        <w:t>PxSCH</w:t>
      </w:r>
      <w:proofErr w:type="spellEnd"/>
      <w:r w:rsidR="00666BE8">
        <w:rPr>
          <w:rStyle w:val="IvDbodytextChar"/>
          <w:i w:val="0"/>
          <w:color w:val="auto"/>
          <w:sz w:val="20"/>
          <w:szCs w:val="20"/>
        </w:rPr>
        <w:t xml:space="preserve"> transmission can occur on the physical channel. The steps include transport block size (TBS) determination, followed by possible segmentation of the TB into one or more </w:t>
      </w:r>
      <w:proofErr w:type="spellStart"/>
      <w:r w:rsidR="00666BE8">
        <w:rPr>
          <w:rStyle w:val="IvDbodytextChar"/>
          <w:i w:val="0"/>
          <w:color w:val="auto"/>
          <w:sz w:val="20"/>
          <w:szCs w:val="20"/>
        </w:rPr>
        <w:t>codeblocks</w:t>
      </w:r>
      <w:proofErr w:type="spellEnd"/>
      <w:r w:rsidR="00666BE8">
        <w:rPr>
          <w:rStyle w:val="IvDbodytextChar"/>
          <w:i w:val="0"/>
          <w:color w:val="auto"/>
          <w:sz w:val="20"/>
          <w:szCs w:val="20"/>
        </w:rPr>
        <w:t xml:space="preserve"> or </w:t>
      </w:r>
      <w:proofErr w:type="spellStart"/>
      <w:r w:rsidR="00666BE8">
        <w:rPr>
          <w:rStyle w:val="IvDbodytextChar"/>
          <w:i w:val="0"/>
          <w:color w:val="auto"/>
          <w:sz w:val="20"/>
          <w:szCs w:val="20"/>
        </w:rPr>
        <w:t>codeblock</w:t>
      </w:r>
      <w:proofErr w:type="spellEnd"/>
      <w:r w:rsidR="00666BE8">
        <w:rPr>
          <w:rStyle w:val="IvDbodytextChar"/>
          <w:i w:val="0"/>
          <w:color w:val="auto"/>
          <w:sz w:val="20"/>
          <w:szCs w:val="20"/>
        </w:rPr>
        <w:t xml:space="preserve"> groups, data encoding, CRC attachment, modulation, layer mapping, and precoding. These steps take time, and thus must be performed in advance of the slot scheduled for </w:t>
      </w:r>
      <w:proofErr w:type="spellStart"/>
      <w:r w:rsidR="00666BE8">
        <w:rPr>
          <w:rStyle w:val="IvDbodytextChar"/>
          <w:i w:val="0"/>
          <w:color w:val="auto"/>
          <w:sz w:val="20"/>
          <w:szCs w:val="20"/>
        </w:rPr>
        <w:t>PxSCH</w:t>
      </w:r>
      <w:proofErr w:type="spellEnd"/>
      <w:r w:rsidR="00666BE8">
        <w:rPr>
          <w:rStyle w:val="IvDbodytextChar"/>
          <w:i w:val="0"/>
          <w:color w:val="auto"/>
          <w:sz w:val="20"/>
          <w:szCs w:val="20"/>
        </w:rPr>
        <w:t xml:space="preserve"> transmission. Moreover, since LBT procedures are performed just in advance of the scheduled slot, some or </w:t>
      </w:r>
      <w:proofErr w:type="gramStart"/>
      <w:r w:rsidR="00666BE8">
        <w:rPr>
          <w:rStyle w:val="IvDbodytextChar"/>
          <w:i w:val="0"/>
          <w:color w:val="auto"/>
          <w:sz w:val="20"/>
          <w:szCs w:val="20"/>
        </w:rPr>
        <w:t>all of</w:t>
      </w:r>
      <w:proofErr w:type="gramEnd"/>
      <w:r w:rsidR="00666BE8">
        <w:rPr>
          <w:rStyle w:val="IvDbodytextChar"/>
          <w:i w:val="0"/>
          <w:color w:val="auto"/>
          <w:sz w:val="20"/>
          <w:szCs w:val="20"/>
        </w:rPr>
        <w:t xml:space="preserve"> the TB processing steps must be performed in advance of the LBT procedure as well. Consequently, during TB processing for Mode 2 operation, the transmitting device (gNB or UE) would need to assume that all LBT </w:t>
      </w:r>
      <w:r>
        <w:rPr>
          <w:rStyle w:val="IvDbodytextChar"/>
          <w:i w:val="0"/>
          <w:color w:val="auto"/>
          <w:sz w:val="20"/>
          <w:szCs w:val="20"/>
        </w:rPr>
        <w:t>sub-bands</w:t>
      </w:r>
      <w:r w:rsidR="00666BE8">
        <w:rPr>
          <w:rStyle w:val="IvDbodytextChar"/>
          <w:i w:val="0"/>
          <w:color w:val="auto"/>
          <w:sz w:val="20"/>
          <w:szCs w:val="20"/>
        </w:rPr>
        <w:t xml:space="preserve"> are available for transmission since there is little or no time for TB re-processing to account for one or more LBT </w:t>
      </w:r>
      <w:r w:rsidR="00A21CAA">
        <w:rPr>
          <w:rStyle w:val="IvDbodytextChar"/>
          <w:i w:val="0"/>
          <w:color w:val="auto"/>
          <w:sz w:val="20"/>
          <w:szCs w:val="20"/>
        </w:rPr>
        <w:t>sub-bands</w:t>
      </w:r>
      <w:r w:rsidR="00666BE8">
        <w:rPr>
          <w:rStyle w:val="IvDbodytextChar"/>
          <w:i w:val="0"/>
          <w:color w:val="auto"/>
          <w:sz w:val="20"/>
          <w:szCs w:val="20"/>
        </w:rPr>
        <w:t xml:space="preserve"> being unavailable due to </w:t>
      </w:r>
      <w:r w:rsidR="008961F9">
        <w:rPr>
          <w:rStyle w:val="IvDbodytextChar"/>
          <w:i w:val="0"/>
          <w:color w:val="auto"/>
          <w:sz w:val="20"/>
          <w:szCs w:val="20"/>
        </w:rPr>
        <w:t>CCA</w:t>
      </w:r>
      <w:r w:rsidR="00666BE8">
        <w:rPr>
          <w:rStyle w:val="IvDbodytextChar"/>
          <w:i w:val="0"/>
          <w:color w:val="auto"/>
          <w:sz w:val="20"/>
          <w:szCs w:val="20"/>
        </w:rPr>
        <w:t xml:space="preserve"> failure. </w:t>
      </w:r>
      <w:r w:rsidR="006523C0">
        <w:rPr>
          <w:rStyle w:val="IvDbodytextChar"/>
          <w:i w:val="0"/>
          <w:color w:val="auto"/>
          <w:sz w:val="20"/>
          <w:szCs w:val="20"/>
        </w:rPr>
        <w:t xml:space="preserve">It gets more complicated in the UL since the scheduling information is already provided by the gNB via the grant, and the UE does not have the flexibility to adjust it. </w:t>
      </w:r>
      <w:r w:rsidR="00666BE8">
        <w:rPr>
          <w:rStyle w:val="IvDbodytextChar"/>
          <w:i w:val="0"/>
          <w:color w:val="auto"/>
          <w:sz w:val="20"/>
          <w:szCs w:val="20"/>
        </w:rPr>
        <w:t xml:space="preserve">This is in contrast to </w:t>
      </w:r>
      <w:r w:rsidR="00A21CAA">
        <w:rPr>
          <w:rStyle w:val="IvDbodytextChar"/>
          <w:i w:val="0"/>
          <w:color w:val="auto"/>
          <w:sz w:val="20"/>
          <w:szCs w:val="20"/>
        </w:rPr>
        <w:t xml:space="preserve">operation with multiple serving cells </w:t>
      </w:r>
      <w:r w:rsidR="00666BE8">
        <w:rPr>
          <w:rStyle w:val="IvDbodytextChar"/>
          <w:i w:val="0"/>
          <w:color w:val="auto"/>
          <w:sz w:val="20"/>
          <w:szCs w:val="20"/>
        </w:rPr>
        <w:t xml:space="preserve">where separate TB processing is performed on a per-CC basis, and if one or more CC’s is unavailable for transmission, the TB(s) in </w:t>
      </w:r>
      <w:proofErr w:type="gramStart"/>
      <w:r w:rsidR="00666BE8">
        <w:rPr>
          <w:rStyle w:val="IvDbodytextChar"/>
          <w:i w:val="0"/>
          <w:color w:val="auto"/>
          <w:sz w:val="20"/>
          <w:szCs w:val="20"/>
        </w:rPr>
        <w:t>other</w:t>
      </w:r>
      <w:proofErr w:type="gramEnd"/>
      <w:r w:rsidR="00666BE8">
        <w:rPr>
          <w:rStyle w:val="IvDbodytextChar"/>
          <w:i w:val="0"/>
          <w:color w:val="auto"/>
          <w:sz w:val="20"/>
          <w:szCs w:val="20"/>
        </w:rPr>
        <w:t xml:space="preserve"> CC’s </w:t>
      </w:r>
      <w:r w:rsidR="00A21CAA">
        <w:rPr>
          <w:rStyle w:val="IvDbodytextChar"/>
          <w:i w:val="0"/>
          <w:color w:val="auto"/>
          <w:sz w:val="20"/>
          <w:szCs w:val="20"/>
        </w:rPr>
        <w:t>need not be</w:t>
      </w:r>
      <w:r w:rsidR="00666BE8">
        <w:rPr>
          <w:rStyle w:val="IvDbodytextChar"/>
          <w:i w:val="0"/>
          <w:color w:val="auto"/>
          <w:sz w:val="20"/>
          <w:szCs w:val="20"/>
        </w:rPr>
        <w:t xml:space="preserve"> re-processed.</w:t>
      </w:r>
    </w:p>
    <w:p w14:paraId="2A40B27F" w14:textId="182F68D1" w:rsidR="008961F9" w:rsidRDefault="00A21CAA" w:rsidP="005802B4">
      <w:pPr>
        <w:pStyle w:val="IvDInstructiontext"/>
        <w:spacing w:after="120"/>
        <w:jc w:val="both"/>
        <w:rPr>
          <w:rStyle w:val="IvDbodytextChar"/>
          <w:i w:val="0"/>
          <w:color w:val="auto"/>
          <w:sz w:val="20"/>
          <w:szCs w:val="20"/>
        </w:rPr>
      </w:pPr>
      <w:r>
        <w:rPr>
          <w:rStyle w:val="IvDbodytextChar"/>
          <w:i w:val="0"/>
          <w:color w:val="auto"/>
          <w:sz w:val="20"/>
          <w:szCs w:val="20"/>
        </w:rPr>
        <w:t xml:space="preserve">It has been suggested that for </w:t>
      </w:r>
      <w:r w:rsidR="001D47A9">
        <w:rPr>
          <w:rStyle w:val="IvDbodytextChar"/>
          <w:i w:val="0"/>
          <w:color w:val="auto"/>
          <w:sz w:val="20"/>
          <w:szCs w:val="20"/>
        </w:rPr>
        <w:t>Option 3</w:t>
      </w:r>
      <w:r w:rsidR="00666BE8">
        <w:rPr>
          <w:rStyle w:val="IvDbodytextChar"/>
          <w:i w:val="0"/>
          <w:color w:val="auto"/>
          <w:sz w:val="20"/>
          <w:szCs w:val="20"/>
        </w:rPr>
        <w:t xml:space="preserve">, </w:t>
      </w:r>
      <w:r>
        <w:rPr>
          <w:rStyle w:val="IvDbodytextChar"/>
          <w:i w:val="0"/>
          <w:color w:val="auto"/>
          <w:sz w:val="20"/>
          <w:szCs w:val="20"/>
        </w:rPr>
        <w:t>full re-processing of the TB can be avoided by puncturing</w:t>
      </w:r>
      <w:r w:rsidR="00666BE8">
        <w:rPr>
          <w:rStyle w:val="IvDbodytextChar"/>
          <w:i w:val="0"/>
          <w:color w:val="auto"/>
          <w:sz w:val="20"/>
          <w:szCs w:val="20"/>
        </w:rPr>
        <w:t xml:space="preserve"> or rate-match</w:t>
      </w:r>
      <w:r>
        <w:rPr>
          <w:rStyle w:val="IvDbodytextChar"/>
          <w:i w:val="0"/>
          <w:color w:val="auto"/>
          <w:sz w:val="20"/>
          <w:szCs w:val="20"/>
        </w:rPr>
        <w:t>ing</w:t>
      </w:r>
      <w:r w:rsidR="00666BE8">
        <w:rPr>
          <w:rStyle w:val="IvDbodytextChar"/>
          <w:i w:val="0"/>
          <w:color w:val="auto"/>
          <w:sz w:val="20"/>
          <w:szCs w:val="20"/>
        </w:rPr>
        <w:t xml:space="preserve"> around the LBT </w:t>
      </w:r>
      <w:r w:rsidR="001D47A9">
        <w:rPr>
          <w:rStyle w:val="IvDbodytextChar"/>
          <w:i w:val="0"/>
          <w:color w:val="auto"/>
          <w:sz w:val="20"/>
          <w:szCs w:val="20"/>
        </w:rPr>
        <w:t>sub-bands</w:t>
      </w:r>
      <w:r w:rsidR="00666BE8">
        <w:rPr>
          <w:rStyle w:val="IvDbodytextChar"/>
          <w:i w:val="0"/>
          <w:color w:val="auto"/>
          <w:sz w:val="20"/>
          <w:szCs w:val="20"/>
        </w:rPr>
        <w:t xml:space="preserve"> that are unavailable due to </w:t>
      </w:r>
      <w:r w:rsidR="008961F9">
        <w:rPr>
          <w:rStyle w:val="IvDbodytextChar"/>
          <w:i w:val="0"/>
          <w:color w:val="auto"/>
          <w:sz w:val="20"/>
          <w:szCs w:val="20"/>
        </w:rPr>
        <w:t>CCA</w:t>
      </w:r>
      <w:r w:rsidR="00666BE8">
        <w:rPr>
          <w:rStyle w:val="IvDbodytextChar"/>
          <w:i w:val="0"/>
          <w:color w:val="auto"/>
          <w:sz w:val="20"/>
          <w:szCs w:val="20"/>
        </w:rPr>
        <w:t xml:space="preserve"> failure.</w:t>
      </w:r>
      <w:r w:rsidR="00F611DA">
        <w:rPr>
          <w:rStyle w:val="IvDbodytextChar"/>
          <w:i w:val="0"/>
          <w:color w:val="auto"/>
          <w:sz w:val="20"/>
          <w:szCs w:val="20"/>
        </w:rPr>
        <w:t xml:space="preserve"> </w:t>
      </w:r>
      <w:r w:rsidR="0039158D">
        <w:rPr>
          <w:rStyle w:val="IvDbodytextChar"/>
          <w:i w:val="0"/>
          <w:color w:val="auto"/>
          <w:sz w:val="20"/>
          <w:szCs w:val="20"/>
        </w:rPr>
        <w:t xml:space="preserve">In the former, the PDSCH REs are simply not transmitted in those LBT </w:t>
      </w:r>
      <w:r w:rsidR="001D47A9">
        <w:rPr>
          <w:rStyle w:val="IvDbodytextChar"/>
          <w:i w:val="0"/>
          <w:color w:val="auto"/>
          <w:sz w:val="20"/>
          <w:szCs w:val="20"/>
        </w:rPr>
        <w:t>sub-bands</w:t>
      </w:r>
      <w:r w:rsidR="0039158D">
        <w:rPr>
          <w:rStyle w:val="IvDbodytextChar"/>
          <w:i w:val="0"/>
          <w:color w:val="auto"/>
          <w:sz w:val="20"/>
          <w:szCs w:val="20"/>
        </w:rPr>
        <w:t>, and the UE may set the soft values for the coded bits corresponding to those REs to zero prior to a decoding. In the latter, partial re-processing may be performed at the transmitting device, assuming sufficient processing capability. The partial re</w:t>
      </w:r>
      <w:r w:rsidR="001D47A9">
        <w:rPr>
          <w:rStyle w:val="IvDbodytextChar"/>
          <w:i w:val="0"/>
          <w:color w:val="auto"/>
          <w:sz w:val="20"/>
          <w:szCs w:val="20"/>
        </w:rPr>
        <w:t>-</w:t>
      </w:r>
      <w:r w:rsidR="0039158D">
        <w:rPr>
          <w:rStyle w:val="IvDbodytextChar"/>
          <w:i w:val="0"/>
          <w:color w:val="auto"/>
          <w:sz w:val="20"/>
          <w:szCs w:val="20"/>
        </w:rPr>
        <w:t>processing is to re</w:t>
      </w:r>
      <w:r w:rsidR="00E9453F">
        <w:rPr>
          <w:rStyle w:val="IvDbodytextChar"/>
          <w:i w:val="0"/>
          <w:color w:val="auto"/>
          <w:sz w:val="20"/>
          <w:szCs w:val="20"/>
        </w:rPr>
        <w:t xml:space="preserve">-encode the TB at a higher rate accounting for the unavailable </w:t>
      </w:r>
      <w:proofErr w:type="spellStart"/>
      <w:r w:rsidR="00E9453F">
        <w:rPr>
          <w:rStyle w:val="IvDbodytextChar"/>
          <w:i w:val="0"/>
          <w:color w:val="auto"/>
          <w:sz w:val="20"/>
          <w:szCs w:val="20"/>
        </w:rPr>
        <w:t>REs.</w:t>
      </w:r>
      <w:proofErr w:type="spellEnd"/>
      <w:r w:rsidR="00E9453F">
        <w:rPr>
          <w:rStyle w:val="IvDbodytextChar"/>
          <w:i w:val="0"/>
          <w:color w:val="auto"/>
          <w:sz w:val="20"/>
          <w:szCs w:val="20"/>
        </w:rPr>
        <w:t xml:space="preserve"> </w:t>
      </w:r>
      <w:r w:rsidR="001D47A9">
        <w:rPr>
          <w:rStyle w:val="IvDbodytextChar"/>
          <w:i w:val="0"/>
          <w:color w:val="auto"/>
          <w:sz w:val="20"/>
          <w:szCs w:val="20"/>
        </w:rPr>
        <w:t>We emphasize that b</w:t>
      </w:r>
      <w:r w:rsidR="00E9453F">
        <w:rPr>
          <w:rStyle w:val="IvDbodytextChar"/>
          <w:i w:val="0"/>
          <w:color w:val="auto"/>
          <w:sz w:val="20"/>
          <w:szCs w:val="20"/>
        </w:rPr>
        <w:t xml:space="preserve">oth approaches are undesirable and </w:t>
      </w:r>
      <w:r w:rsidR="008961F9">
        <w:rPr>
          <w:rStyle w:val="IvDbodytextChar"/>
          <w:i w:val="0"/>
          <w:color w:val="auto"/>
          <w:sz w:val="20"/>
          <w:szCs w:val="20"/>
        </w:rPr>
        <w:t>have a high likelihood of decoding failure thus requiring retransmissions. Clearly, this removes the claimed advantage of improved spectral efficiency.</w:t>
      </w:r>
    </w:p>
    <w:p w14:paraId="200A51C1" w14:textId="705FA0C2" w:rsidR="001D47A9" w:rsidRDefault="00E9453F" w:rsidP="005802B4">
      <w:pPr>
        <w:pStyle w:val="Observation"/>
        <w:ind w:left="1699" w:hanging="1699"/>
        <w:rPr>
          <w:rStyle w:val="IvDbodytextChar"/>
        </w:rPr>
      </w:pPr>
      <w:bookmarkStart w:id="6" w:name="_Toc534809039"/>
      <w:r w:rsidRPr="00E9453F">
        <w:rPr>
          <w:rStyle w:val="IvDbodytextChar"/>
        </w:rPr>
        <w:t xml:space="preserve">Puncturing/rate matching around LBT </w:t>
      </w:r>
      <w:r w:rsidR="001D47A9">
        <w:rPr>
          <w:rStyle w:val="IvDbodytextChar"/>
        </w:rPr>
        <w:t>sub-bands</w:t>
      </w:r>
      <w:r w:rsidRPr="00E9453F">
        <w:rPr>
          <w:rStyle w:val="IvDbodytextChar"/>
        </w:rPr>
        <w:t xml:space="preserve"> </w:t>
      </w:r>
      <w:r w:rsidR="008961F9">
        <w:rPr>
          <w:rStyle w:val="IvDbodytextChar"/>
        </w:rPr>
        <w:t xml:space="preserve">where CCA fails </w:t>
      </w:r>
      <w:r w:rsidRPr="00E9453F">
        <w:rPr>
          <w:rStyle w:val="IvDbodytextChar"/>
        </w:rPr>
        <w:t xml:space="preserve">may cause </w:t>
      </w:r>
      <w:proofErr w:type="spellStart"/>
      <w:r w:rsidRPr="00E9453F">
        <w:rPr>
          <w:rStyle w:val="IvDbodytextChar"/>
        </w:rPr>
        <w:t>PxSCH</w:t>
      </w:r>
      <w:proofErr w:type="spellEnd"/>
      <w:r w:rsidRPr="00E9453F">
        <w:rPr>
          <w:rStyle w:val="IvDbodytextChar"/>
        </w:rPr>
        <w:t xml:space="preserve"> decoding failure</w:t>
      </w:r>
      <w:r w:rsidR="008961F9">
        <w:rPr>
          <w:rStyle w:val="IvDbodytextChar"/>
        </w:rPr>
        <w:t>.</w:t>
      </w:r>
      <w:bookmarkEnd w:id="6"/>
    </w:p>
    <w:p w14:paraId="0F85A676" w14:textId="1B251319" w:rsidR="008D7C00" w:rsidRDefault="008D7C00" w:rsidP="008D7C00">
      <w:pPr>
        <w:pStyle w:val="Heading2"/>
        <w:rPr>
          <w:rStyle w:val="BodyTextChar"/>
          <w:lang w:eastAsia="en-US"/>
        </w:rPr>
      </w:pPr>
      <w:r>
        <w:rPr>
          <w:rStyle w:val="BodyTextChar"/>
          <w:lang w:eastAsia="en-US"/>
        </w:rPr>
        <w:t>2</w:t>
      </w:r>
      <w:r w:rsidR="00F6666F">
        <w:rPr>
          <w:rStyle w:val="BodyTextChar"/>
          <w:lang w:eastAsia="en-US"/>
        </w:rPr>
        <w:t>.3</w:t>
      </w:r>
      <w:r>
        <w:rPr>
          <w:rStyle w:val="BodyTextChar"/>
          <w:lang w:eastAsia="en-US"/>
        </w:rPr>
        <w:tab/>
        <w:t>Impact of Multiple Active BWPs</w:t>
      </w:r>
    </w:p>
    <w:p w14:paraId="154FC3E7" w14:textId="465DFA6D" w:rsidR="008D7C00" w:rsidRDefault="008D7C00" w:rsidP="008D7C00">
      <w:pPr>
        <w:pStyle w:val="BodyText"/>
        <w:rPr>
          <w:rStyle w:val="BodyTextChar"/>
          <w:lang w:eastAsia="en-US"/>
        </w:rPr>
      </w:pPr>
      <w:r>
        <w:rPr>
          <w:rStyle w:val="BodyTextChar"/>
          <w:lang w:eastAsia="en-US"/>
        </w:rPr>
        <w:t xml:space="preserve">In </w:t>
      </w:r>
      <w:r w:rsidR="00233E9C">
        <w:rPr>
          <w:rStyle w:val="BodyTextChar"/>
          <w:lang w:eastAsia="en-US"/>
        </w:rPr>
        <w:t>a previous</w:t>
      </w:r>
      <w:r>
        <w:rPr>
          <w:rStyle w:val="BodyTextChar"/>
          <w:lang w:eastAsia="en-US"/>
        </w:rPr>
        <w:t xml:space="preserve"> RAN2 contribution </w:t>
      </w:r>
      <w:r>
        <w:rPr>
          <w:rStyle w:val="BodyTextChar"/>
          <w:lang w:eastAsia="en-US"/>
        </w:rPr>
        <w:fldChar w:fldCharType="begin"/>
      </w:r>
      <w:r>
        <w:rPr>
          <w:rStyle w:val="BodyTextChar"/>
          <w:lang w:eastAsia="en-US"/>
        </w:rPr>
        <w:instrText xml:space="preserve"> REF _Ref528951568 \r \h </w:instrText>
      </w:r>
      <w:r>
        <w:rPr>
          <w:rStyle w:val="BodyTextChar"/>
          <w:lang w:eastAsia="en-US"/>
        </w:rPr>
      </w:r>
      <w:r>
        <w:rPr>
          <w:rStyle w:val="BodyTextChar"/>
          <w:lang w:eastAsia="en-US"/>
        </w:rPr>
        <w:fldChar w:fldCharType="separate"/>
      </w:r>
      <w:r>
        <w:rPr>
          <w:rStyle w:val="BodyTextChar"/>
          <w:lang w:eastAsia="en-US"/>
        </w:rPr>
        <w:t>[4]</w:t>
      </w:r>
      <w:r>
        <w:rPr>
          <w:rStyle w:val="BodyTextChar"/>
          <w:lang w:eastAsia="en-US"/>
        </w:rPr>
        <w:fldChar w:fldCharType="end"/>
      </w:r>
      <w:r>
        <w:rPr>
          <w:rStyle w:val="BodyTextChar"/>
          <w:lang w:eastAsia="en-US"/>
        </w:rPr>
        <w:t xml:space="preserve">, we </w:t>
      </w:r>
      <w:r w:rsidR="000751B6">
        <w:rPr>
          <w:rStyle w:val="BodyTextChar"/>
          <w:lang w:eastAsia="en-US"/>
        </w:rPr>
        <w:t>identified</w:t>
      </w:r>
      <w:r>
        <w:rPr>
          <w:rStyle w:val="BodyTextChar"/>
          <w:lang w:eastAsia="en-US"/>
        </w:rPr>
        <w:t xml:space="preserve"> the impact of supporting multiple active BWPs (Options 1a/b). </w:t>
      </w:r>
      <w:proofErr w:type="gramStart"/>
      <w:r>
        <w:rPr>
          <w:rStyle w:val="BodyTextChar"/>
          <w:lang w:eastAsia="en-US"/>
        </w:rPr>
        <w:t>First</w:t>
      </w:r>
      <w:proofErr w:type="gramEnd"/>
      <w:r>
        <w:rPr>
          <w:rStyle w:val="BodyTextChar"/>
          <w:lang w:eastAsia="en-US"/>
        </w:rPr>
        <w:t xml:space="preserve"> we note that in NR licensed and LTE LAA, one HARQ entity is maintained per serving cell/carrier. Hence, one way to support multiple active BWPs is that a single HARQ entity is for the wideband carrier is shared amongst the all active BWPs; however, in that case the HARQ process ID space would be limited. An alternative approach would be to maintain a single HARQ entity per active BWP. This requires significant RAN2 standardization effort and carries the risk of breaking backward compatibility. We note that additional complexity is incurred in managing HARQ operation if HARQ retransmissions across active BWPs is allowed.</w:t>
      </w:r>
    </w:p>
    <w:p w14:paraId="301B2FE3" w14:textId="77777777" w:rsidR="008D7C00" w:rsidRDefault="008D7C00" w:rsidP="008D7C00">
      <w:pPr>
        <w:pStyle w:val="BodyText"/>
        <w:rPr>
          <w:rStyle w:val="BodyTextChar"/>
          <w:lang w:eastAsia="en-US"/>
        </w:rPr>
      </w:pPr>
      <w:r>
        <w:rPr>
          <w:rStyle w:val="BodyTextChar"/>
          <w:lang w:eastAsia="en-US"/>
        </w:rPr>
        <w:t>One area which would be significantly impacted by support for multiple active BWPs is power control. If NR-U were to support multiple active BWPs, it may be necessary to support PHR per BWP since the existing PHR framework per serving cell cannot precisely reflect the power headroom for each BWP.  This would require substantial efforts for both RAN1 and RAN2.</w:t>
      </w:r>
    </w:p>
    <w:p w14:paraId="1E08EF6F" w14:textId="77777777" w:rsidR="008D7C00" w:rsidRDefault="008D7C00" w:rsidP="008D7C00">
      <w:pPr>
        <w:pStyle w:val="BodyText"/>
        <w:rPr>
          <w:rStyle w:val="BodyTextChar"/>
          <w:lang w:eastAsia="en-US"/>
        </w:rPr>
      </w:pPr>
      <w:r>
        <w:rPr>
          <w:rStyle w:val="BodyTextChar"/>
          <w:lang w:eastAsia="en-US"/>
        </w:rPr>
        <w:t>Other aspects that need to be considered in RAN2 are the following:</w:t>
      </w:r>
    </w:p>
    <w:p w14:paraId="57D6323D" w14:textId="77777777" w:rsidR="008D7C00" w:rsidRDefault="008D7C00" w:rsidP="008D7C00">
      <w:pPr>
        <w:pStyle w:val="BodyText"/>
        <w:numPr>
          <w:ilvl w:val="0"/>
          <w:numId w:val="24"/>
        </w:numPr>
        <w:rPr>
          <w:rStyle w:val="BodyTextChar"/>
          <w:lang w:eastAsia="en-US"/>
        </w:rPr>
      </w:pPr>
      <w:r>
        <w:rPr>
          <w:rStyle w:val="BodyTextChar"/>
          <w:lang w:eastAsia="en-US"/>
        </w:rPr>
        <w:t>Logical channel prioritization (LCP) restrictions</w:t>
      </w:r>
    </w:p>
    <w:p w14:paraId="4F5241D9" w14:textId="77777777" w:rsidR="008D7C00" w:rsidRPr="006E0684" w:rsidRDefault="008D7C00" w:rsidP="008D7C00">
      <w:pPr>
        <w:pStyle w:val="BodyText"/>
        <w:numPr>
          <w:ilvl w:val="0"/>
          <w:numId w:val="24"/>
        </w:numPr>
        <w:rPr>
          <w:rStyle w:val="BodyTextChar"/>
          <w:lang w:eastAsia="en-US"/>
        </w:rPr>
      </w:pPr>
      <w:r w:rsidRPr="006E0684">
        <w:rPr>
          <w:rStyle w:val="BodyTextChar"/>
          <w:lang w:eastAsia="en-US"/>
        </w:rPr>
        <w:t>Whether or not to introduce BWP specific DRX configuration</w:t>
      </w:r>
    </w:p>
    <w:p w14:paraId="21B50D0E" w14:textId="77777777" w:rsidR="008D7C00" w:rsidRPr="006E0684" w:rsidRDefault="008D7C00" w:rsidP="008D7C00">
      <w:pPr>
        <w:pStyle w:val="BodyText"/>
        <w:numPr>
          <w:ilvl w:val="0"/>
          <w:numId w:val="24"/>
        </w:numPr>
        <w:rPr>
          <w:rStyle w:val="BodyTextChar"/>
          <w:lang w:eastAsia="en-US"/>
        </w:rPr>
      </w:pPr>
      <w:r w:rsidRPr="006E0684">
        <w:rPr>
          <w:rStyle w:val="BodyTextChar"/>
          <w:lang w:eastAsia="en-US"/>
        </w:rPr>
        <w:t>Whether or not to introduce BWP specific uplink timing alignment</w:t>
      </w:r>
    </w:p>
    <w:p w14:paraId="39C2A927" w14:textId="77777777" w:rsidR="008D7C00" w:rsidRPr="006E0684" w:rsidRDefault="008D7C00" w:rsidP="008D7C00">
      <w:pPr>
        <w:pStyle w:val="BodyText"/>
        <w:numPr>
          <w:ilvl w:val="0"/>
          <w:numId w:val="24"/>
        </w:numPr>
        <w:rPr>
          <w:rStyle w:val="BodyTextChar"/>
          <w:lang w:eastAsia="en-US"/>
        </w:rPr>
      </w:pPr>
      <w:r w:rsidRPr="006E0684">
        <w:rPr>
          <w:rStyle w:val="BodyTextChar"/>
          <w:lang w:eastAsia="en-US"/>
        </w:rPr>
        <w:t>Whether or not to introduce multiple configuration grant configurations, so that each BWP may be associated with a different configured grant configuration</w:t>
      </w:r>
    </w:p>
    <w:p w14:paraId="7BE0198D" w14:textId="77777777" w:rsidR="008D7C00" w:rsidRDefault="008D7C00" w:rsidP="008D7C00">
      <w:pPr>
        <w:pStyle w:val="BodyText"/>
        <w:numPr>
          <w:ilvl w:val="0"/>
          <w:numId w:val="24"/>
        </w:numPr>
        <w:rPr>
          <w:rStyle w:val="BodyTextChar"/>
          <w:lang w:eastAsia="en-US"/>
        </w:rPr>
      </w:pPr>
      <w:r w:rsidRPr="006E0684">
        <w:rPr>
          <w:rStyle w:val="BodyTextChar"/>
          <w:lang w:eastAsia="en-US"/>
        </w:rPr>
        <w:t>Whether or not to support BWP specific RRM framework, BWP specific RLM/RLF etc.</w:t>
      </w:r>
    </w:p>
    <w:p w14:paraId="5F413500" w14:textId="6FC5461A" w:rsidR="008D7C00" w:rsidRDefault="008D7C00" w:rsidP="008D7C00">
      <w:pPr>
        <w:pStyle w:val="BodyText"/>
      </w:pPr>
      <w:r>
        <w:t>As a summary, RAN2 would need to spend a lot of effort to specify functions which are already feasible/supported within the carrier aggregation framework.</w:t>
      </w:r>
    </w:p>
    <w:p w14:paraId="639B27BA" w14:textId="38C3136C" w:rsidR="008D7C00" w:rsidRPr="00D4280E" w:rsidRDefault="008D7C00" w:rsidP="008D7C00">
      <w:pPr>
        <w:pStyle w:val="Proposal"/>
        <w:tabs>
          <w:tab w:val="num" w:pos="1304"/>
        </w:tabs>
        <w:ind w:left="1304" w:hanging="1304"/>
        <w:rPr>
          <w:lang w:val="en-US"/>
        </w:rPr>
      </w:pPr>
      <w:bookmarkStart w:id="7" w:name="_Toc534809272"/>
      <w:r>
        <w:rPr>
          <w:lang w:val="en-US"/>
        </w:rPr>
        <w:t xml:space="preserve">Multiple active BWPs are not considered for NR-U; hence, </w:t>
      </w:r>
      <w:r w:rsidR="000751B6">
        <w:rPr>
          <w:lang w:val="en-US"/>
        </w:rPr>
        <w:t xml:space="preserve">for wideband operation with a single serving cell, </w:t>
      </w:r>
      <w:r>
        <w:rPr>
          <w:lang w:val="en-US"/>
        </w:rPr>
        <w:t xml:space="preserve">Options 1a and 1b are </w:t>
      </w:r>
      <w:r w:rsidR="000751B6">
        <w:rPr>
          <w:lang w:val="en-US"/>
        </w:rPr>
        <w:t>not supported</w:t>
      </w:r>
      <w:r w:rsidR="002249A0">
        <w:rPr>
          <w:lang w:val="en-US"/>
        </w:rPr>
        <w:t xml:space="preserve"> for either DL or UL.</w:t>
      </w:r>
      <w:bookmarkEnd w:id="7"/>
    </w:p>
    <w:p w14:paraId="3A18F10B" w14:textId="0315FA51" w:rsidR="001D47A9" w:rsidRDefault="00194E3D" w:rsidP="005802B4">
      <w:pPr>
        <w:pStyle w:val="Heading2"/>
        <w:rPr>
          <w:rStyle w:val="IvDbodytextChar"/>
        </w:rPr>
      </w:pPr>
      <w:r>
        <w:rPr>
          <w:rStyle w:val="IvDbodytextChar"/>
        </w:rPr>
        <w:lastRenderedPageBreak/>
        <w:t>2</w:t>
      </w:r>
      <w:r w:rsidR="00F6666F">
        <w:rPr>
          <w:rStyle w:val="IvDbodytextChar"/>
        </w:rPr>
        <w:t>.</w:t>
      </w:r>
      <w:r w:rsidR="001D47A9">
        <w:rPr>
          <w:rStyle w:val="IvDbodytextChar"/>
        </w:rPr>
        <w:t>4</w:t>
      </w:r>
      <w:r w:rsidR="001D47A9">
        <w:rPr>
          <w:rStyle w:val="IvDbodytextChar"/>
        </w:rPr>
        <w:tab/>
        <w:t>Preferred Option</w:t>
      </w:r>
    </w:p>
    <w:p w14:paraId="372CF277" w14:textId="04154F8C" w:rsidR="001D47A9" w:rsidRDefault="001D47A9" w:rsidP="001D47A9">
      <w:pPr>
        <w:pStyle w:val="BodyText"/>
        <w:rPr>
          <w:lang w:val="en-US"/>
        </w:rPr>
      </w:pPr>
      <w:r>
        <w:rPr>
          <w:lang w:val="en-US"/>
        </w:rPr>
        <w:t>Option 2 has the advantage that it requires neither multiple active bandwidth parts nor non-contiguous transmission</w:t>
      </w:r>
      <w:r w:rsidR="000751B6">
        <w:rPr>
          <w:lang w:val="en-US"/>
        </w:rPr>
        <w:t xml:space="preserve">/reception. Hence, this is the </w:t>
      </w:r>
      <w:r>
        <w:rPr>
          <w:lang w:val="en-US"/>
        </w:rPr>
        <w:t xml:space="preserve">least RAN4 and RAN2 impacting solution for </w:t>
      </w:r>
      <w:r w:rsidR="000751B6">
        <w:rPr>
          <w:lang w:val="en-US"/>
        </w:rPr>
        <w:t>wideband carrier operation with a single serving cell</w:t>
      </w:r>
      <w:r>
        <w:rPr>
          <w:lang w:val="en-US"/>
        </w:rPr>
        <w:t xml:space="preserve">. Moreover, neither puncturing nor rate matching is needed, since transmission only occurs if </w:t>
      </w:r>
      <w:r w:rsidR="000751B6">
        <w:rPr>
          <w:lang w:val="en-US"/>
        </w:rPr>
        <w:t>CCA</w:t>
      </w:r>
      <w:r>
        <w:rPr>
          <w:lang w:val="en-US"/>
        </w:rPr>
        <w:t xml:space="preserve"> is successful </w:t>
      </w:r>
      <w:r w:rsidR="000751B6">
        <w:rPr>
          <w:lang w:val="en-US"/>
        </w:rPr>
        <w:t>in</w:t>
      </w:r>
      <w:r>
        <w:rPr>
          <w:lang w:val="en-US"/>
        </w:rPr>
        <w:t xml:space="preserve"> all </w:t>
      </w:r>
      <w:r w:rsidR="000751B6">
        <w:rPr>
          <w:lang w:val="en-US"/>
        </w:rPr>
        <w:t xml:space="preserve">20 MHz </w:t>
      </w:r>
      <w:r>
        <w:rPr>
          <w:lang w:val="en-US"/>
        </w:rPr>
        <w:t xml:space="preserve">LBT sub-bands. Option 2 is thus useful, for example, in environments where narrowband interference is not expected. It </w:t>
      </w:r>
      <w:r w:rsidR="000751B6">
        <w:rPr>
          <w:lang w:val="en-US"/>
        </w:rPr>
        <w:t>could also be</w:t>
      </w:r>
      <w:r>
        <w:rPr>
          <w:lang w:val="en-US"/>
        </w:rPr>
        <w:t xml:space="preserve"> useful for new bands where the channelization may not necessarily be on a granularity of 20 </w:t>
      </w:r>
      <w:proofErr w:type="spellStart"/>
      <w:r>
        <w:rPr>
          <w:lang w:val="en-US"/>
        </w:rPr>
        <w:t>MHz.</w:t>
      </w:r>
      <w:proofErr w:type="spellEnd"/>
      <w:r>
        <w:rPr>
          <w:lang w:val="en-US"/>
        </w:rPr>
        <w:t xml:space="preserve"> In this case wideband LBT may be used. We point out that for operation in environments with high probability of narrowband interference, e.g., in 5 GHz, where </w:t>
      </w:r>
      <w:r w:rsidR="000751B6">
        <w:rPr>
          <w:lang w:val="en-US"/>
        </w:rPr>
        <w:t>CCA</w:t>
      </w:r>
      <w:r>
        <w:rPr>
          <w:lang w:val="en-US"/>
        </w:rPr>
        <w:t xml:space="preserve"> is likely to fail on one or more LBT sub-bands, then </w:t>
      </w:r>
      <w:r w:rsidR="000751B6">
        <w:rPr>
          <w:lang w:val="en-US"/>
        </w:rPr>
        <w:t xml:space="preserve">wideband operation with multiple serving cells </w:t>
      </w:r>
      <w:r>
        <w:rPr>
          <w:lang w:val="en-US"/>
        </w:rPr>
        <w:t>may always be configured.</w:t>
      </w:r>
    </w:p>
    <w:p w14:paraId="6BCCB458" w14:textId="2F08B5C8" w:rsidR="000751B6" w:rsidRDefault="000751B6" w:rsidP="00456A68">
      <w:pPr>
        <w:pStyle w:val="Proposal"/>
        <w:rPr>
          <w:lang w:val="en-US"/>
        </w:rPr>
      </w:pPr>
      <w:bookmarkStart w:id="8" w:name="_Toc534809273"/>
      <w:r>
        <w:rPr>
          <w:lang w:val="en-US"/>
        </w:rPr>
        <w:t xml:space="preserve">If wideband operation with </w:t>
      </w:r>
      <w:r w:rsidR="002249A0">
        <w:rPr>
          <w:lang w:val="en-US"/>
        </w:rPr>
        <w:t>a single serving cell</w:t>
      </w:r>
      <w:r>
        <w:rPr>
          <w:lang w:val="en-US"/>
        </w:rPr>
        <w:t xml:space="preserve"> is supported, then only a single active BWP is </w:t>
      </w:r>
      <w:proofErr w:type="gramStart"/>
      <w:r>
        <w:rPr>
          <w:lang w:val="en-US"/>
        </w:rPr>
        <w:t>supported</w:t>
      </w:r>
      <w:proofErr w:type="gramEnd"/>
      <w:r>
        <w:rPr>
          <w:lang w:val="en-US"/>
        </w:rPr>
        <w:t xml:space="preserve"> and transmission/reception is supported only when CCA is successful in all LBT-</w:t>
      </w:r>
      <w:proofErr w:type="spellStart"/>
      <w:r>
        <w:rPr>
          <w:lang w:val="en-US"/>
        </w:rPr>
        <w:t>subbands</w:t>
      </w:r>
      <w:proofErr w:type="spellEnd"/>
      <w:r>
        <w:rPr>
          <w:lang w:val="en-US"/>
        </w:rPr>
        <w:t xml:space="preserve"> within the active BWP; hence, only Option 2 is considered for both DL and UL.</w:t>
      </w:r>
      <w:bookmarkEnd w:id="8"/>
    </w:p>
    <w:p w14:paraId="269573C7" w14:textId="396A43A5" w:rsidR="00C01F33" w:rsidRPr="00CE0424" w:rsidRDefault="00194E3D" w:rsidP="00CE0424">
      <w:pPr>
        <w:pStyle w:val="Heading1"/>
      </w:pPr>
      <w:r>
        <w:t>3</w:t>
      </w:r>
      <w:r w:rsidR="00446710">
        <w:tab/>
      </w:r>
      <w:r w:rsidR="00C01F33"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48C6E989" w14:textId="42ADDFE2" w:rsidR="000751B6"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34809039" w:history="1">
        <w:r w:rsidR="000751B6" w:rsidRPr="00496E9B">
          <w:rPr>
            <w:rStyle w:val="Hyperlink"/>
            <w:noProof/>
            <w:spacing w:val="2"/>
            <w:lang w:val="en-US" w:eastAsia="en-US"/>
          </w:rPr>
          <w:t>Observation 1</w:t>
        </w:r>
        <w:r w:rsidR="000751B6">
          <w:rPr>
            <w:rFonts w:asciiTheme="minorHAnsi" w:eastAsiaTheme="minorEastAsia" w:hAnsiTheme="minorHAnsi" w:cstheme="minorBidi"/>
            <w:b w:val="0"/>
            <w:noProof/>
            <w:sz w:val="22"/>
            <w:szCs w:val="22"/>
            <w:lang w:val="en-US" w:eastAsia="en-US"/>
          </w:rPr>
          <w:tab/>
        </w:r>
        <w:r w:rsidR="000751B6" w:rsidRPr="00496E9B">
          <w:rPr>
            <w:rStyle w:val="Hyperlink"/>
            <w:noProof/>
            <w:spacing w:val="2"/>
            <w:lang w:val="en-US" w:eastAsia="en-US"/>
          </w:rPr>
          <w:t>Puncturing/rate matching around LBT sub-bands where CCA fails may cause PxSCH decoding failure.</w:t>
        </w:r>
      </w:hyperlink>
    </w:p>
    <w:p w14:paraId="6449A13A" w14:textId="570A7F6A"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p>
    <w:p w14:paraId="62AA802C" w14:textId="06AE28CC" w:rsidR="002249A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bookmarkStart w:id="9" w:name="_Hlk534809379"/>
      <w:r w:rsidR="002249A0" w:rsidRPr="006F272A">
        <w:rPr>
          <w:rStyle w:val="Hyperlink"/>
          <w:noProof/>
        </w:rPr>
        <w:fldChar w:fldCharType="begin"/>
      </w:r>
      <w:r w:rsidR="002249A0" w:rsidRPr="006F272A">
        <w:rPr>
          <w:rStyle w:val="Hyperlink"/>
          <w:noProof/>
        </w:rPr>
        <w:instrText xml:space="preserve"> </w:instrText>
      </w:r>
      <w:r w:rsidR="002249A0">
        <w:rPr>
          <w:noProof/>
        </w:rPr>
        <w:instrText>HYPERLINK \l "_Toc534809270"</w:instrText>
      </w:r>
      <w:r w:rsidR="002249A0" w:rsidRPr="006F272A">
        <w:rPr>
          <w:rStyle w:val="Hyperlink"/>
          <w:noProof/>
        </w:rPr>
        <w:instrText xml:space="preserve"> </w:instrText>
      </w:r>
      <w:r w:rsidR="002249A0" w:rsidRPr="006F272A">
        <w:rPr>
          <w:rStyle w:val="Hyperlink"/>
          <w:noProof/>
        </w:rPr>
        <w:fldChar w:fldCharType="separate"/>
      </w:r>
      <w:r w:rsidR="002249A0" w:rsidRPr="006F272A">
        <w:rPr>
          <w:rStyle w:val="Hyperlink"/>
          <w:noProof/>
        </w:rPr>
        <w:t>Proposal 1</w:t>
      </w:r>
      <w:r w:rsidR="002249A0">
        <w:rPr>
          <w:rFonts w:asciiTheme="minorHAnsi" w:eastAsiaTheme="minorEastAsia" w:hAnsiTheme="minorHAnsi" w:cstheme="minorBidi"/>
          <w:b w:val="0"/>
          <w:noProof/>
          <w:sz w:val="22"/>
          <w:szCs w:val="22"/>
          <w:lang w:val="en-US" w:eastAsia="en-US"/>
        </w:rPr>
        <w:tab/>
      </w:r>
      <w:r w:rsidR="002249A0" w:rsidRPr="006F272A">
        <w:rPr>
          <w:rStyle w:val="Hyperlink"/>
          <w:noProof/>
        </w:rPr>
        <w:t>For wideband operation supported with multiple serving cells, support utilization of the guard bands between two or more contiguous CCs for PxSCH transmission and reception (x = D for downlink and = U for uplink).</w:t>
      </w:r>
      <w:r w:rsidR="002249A0" w:rsidRPr="006F272A">
        <w:rPr>
          <w:rStyle w:val="Hyperlink"/>
          <w:noProof/>
        </w:rPr>
        <w:fldChar w:fldCharType="end"/>
      </w:r>
    </w:p>
    <w:p w14:paraId="42041317" w14:textId="114D5A6F" w:rsidR="002249A0" w:rsidRDefault="008327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4809271" w:history="1">
        <w:r w:rsidR="002249A0" w:rsidRPr="006F272A">
          <w:rPr>
            <w:rStyle w:val="Hyperlink"/>
            <w:noProof/>
            <w:lang w:val="en-US"/>
          </w:rPr>
          <w:t>Proposal 2</w:t>
        </w:r>
        <w:r w:rsidR="002249A0">
          <w:rPr>
            <w:rFonts w:asciiTheme="minorHAnsi" w:eastAsiaTheme="minorEastAsia" w:hAnsiTheme="minorHAnsi" w:cstheme="minorBidi"/>
            <w:b w:val="0"/>
            <w:noProof/>
            <w:sz w:val="22"/>
            <w:szCs w:val="22"/>
            <w:lang w:val="en-US" w:eastAsia="en-US"/>
          </w:rPr>
          <w:tab/>
        </w:r>
        <w:r w:rsidR="002249A0" w:rsidRPr="006F272A">
          <w:rPr>
            <w:rStyle w:val="Hyperlink"/>
            <w:noProof/>
            <w:lang w:val="en-US"/>
          </w:rPr>
          <w:t>For wideband operation with a single serving cell, transmission on non-contiguous LBT sub-bands is not supported; hence Options 1a and 3 are not supported for either DL or UL.</w:t>
        </w:r>
      </w:hyperlink>
    </w:p>
    <w:p w14:paraId="315D43E8" w14:textId="2709705C" w:rsidR="002249A0" w:rsidRDefault="008327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4809272" w:history="1">
        <w:r w:rsidR="002249A0" w:rsidRPr="006F272A">
          <w:rPr>
            <w:rStyle w:val="Hyperlink"/>
            <w:noProof/>
            <w:lang w:val="en-US"/>
          </w:rPr>
          <w:t>Proposal 3</w:t>
        </w:r>
        <w:r w:rsidR="002249A0">
          <w:rPr>
            <w:rFonts w:asciiTheme="minorHAnsi" w:eastAsiaTheme="minorEastAsia" w:hAnsiTheme="minorHAnsi" w:cstheme="minorBidi"/>
            <w:b w:val="0"/>
            <w:noProof/>
            <w:sz w:val="22"/>
            <w:szCs w:val="22"/>
            <w:lang w:val="en-US" w:eastAsia="en-US"/>
          </w:rPr>
          <w:tab/>
        </w:r>
        <w:r w:rsidR="002249A0" w:rsidRPr="006F272A">
          <w:rPr>
            <w:rStyle w:val="Hyperlink"/>
            <w:noProof/>
            <w:lang w:val="en-US"/>
          </w:rPr>
          <w:t>Multiple active BWPs are not considered for NR-U; hence, for wideband operation with a single serving cell, Options 1a and 1b are not supported for either DL or UL.</w:t>
        </w:r>
      </w:hyperlink>
    </w:p>
    <w:p w14:paraId="6202D9FF" w14:textId="1623221C" w:rsidR="002249A0" w:rsidRDefault="008327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4809273" w:history="1">
        <w:r w:rsidR="002249A0" w:rsidRPr="006F272A">
          <w:rPr>
            <w:rStyle w:val="Hyperlink"/>
            <w:noProof/>
            <w:lang w:val="en-US"/>
          </w:rPr>
          <w:t>Proposal 4</w:t>
        </w:r>
        <w:r w:rsidR="002249A0">
          <w:rPr>
            <w:rFonts w:asciiTheme="minorHAnsi" w:eastAsiaTheme="minorEastAsia" w:hAnsiTheme="minorHAnsi" w:cstheme="minorBidi"/>
            <w:b w:val="0"/>
            <w:noProof/>
            <w:sz w:val="22"/>
            <w:szCs w:val="22"/>
            <w:lang w:val="en-US" w:eastAsia="en-US"/>
          </w:rPr>
          <w:tab/>
        </w:r>
        <w:r w:rsidR="002249A0" w:rsidRPr="006F272A">
          <w:rPr>
            <w:rStyle w:val="Hyperlink"/>
            <w:noProof/>
            <w:lang w:val="en-US"/>
          </w:rPr>
          <w:t>If wideband operation with a single serving cell is supported, then only a single active BWP is supported and transmission/reception is supported only when CCA is successful in all LBT-subbands within the active BWP; hence, only Option 2 is considered for both DL and UL.</w:t>
        </w:r>
      </w:hyperlink>
    </w:p>
    <w:bookmarkEnd w:id="9"/>
    <w:p w14:paraId="29E5F4E6" w14:textId="57C60494" w:rsidR="00C01F33" w:rsidRPr="001F0FA7" w:rsidRDefault="006E1C82" w:rsidP="001F0FA7">
      <w:pPr>
        <w:pStyle w:val="BodyText"/>
        <w:rPr>
          <w:b/>
          <w:bCs/>
        </w:rPr>
      </w:pPr>
      <w:r>
        <w:rPr>
          <w:b/>
          <w:bCs/>
          <w:lang w:val="en-US"/>
        </w:rPr>
        <w:fldChar w:fldCharType="end"/>
      </w:r>
    </w:p>
    <w:p w14:paraId="75F0F757" w14:textId="77777777" w:rsidR="00F507D1" w:rsidRPr="00CE0424" w:rsidRDefault="00F507D1" w:rsidP="00CE0424">
      <w:pPr>
        <w:pStyle w:val="Heading1"/>
      </w:pPr>
      <w:bookmarkStart w:id="10" w:name="_In-sequence_SDU_delivery"/>
      <w:bookmarkEnd w:id="10"/>
      <w:r w:rsidRPr="00CE0424">
        <w:t>References</w:t>
      </w:r>
    </w:p>
    <w:p w14:paraId="65C7D5C8" w14:textId="77777777" w:rsidR="000962B9" w:rsidRPr="00233E9C" w:rsidRDefault="000962B9" w:rsidP="000962B9">
      <w:pPr>
        <w:pStyle w:val="Reference"/>
        <w:overflowPunct/>
        <w:autoSpaceDE/>
        <w:autoSpaceDN/>
        <w:adjustRightInd/>
        <w:spacing w:line="259" w:lineRule="auto"/>
        <w:textAlignment w:val="auto"/>
      </w:pPr>
      <w:bookmarkStart w:id="11" w:name="_Ref534127550"/>
      <w:bookmarkStart w:id="12" w:name="_Ref525732218"/>
      <w:bookmarkStart w:id="13" w:name="_Ref525647225"/>
      <w:r w:rsidRPr="00233E9C">
        <w:t>RP-182878, “New WID on NR-based Access to Unlicensed Spectrum,” Qualcomm, RAN#82, December 2018.</w:t>
      </w:r>
      <w:bookmarkEnd w:id="11"/>
    </w:p>
    <w:p w14:paraId="4F75659B" w14:textId="3CC51CF1" w:rsidR="000962B9" w:rsidRPr="00233E9C" w:rsidRDefault="000962B9" w:rsidP="000962B9">
      <w:pPr>
        <w:pStyle w:val="Reference"/>
        <w:overflowPunct/>
        <w:autoSpaceDE/>
        <w:autoSpaceDN/>
        <w:adjustRightInd/>
        <w:spacing w:line="259" w:lineRule="auto"/>
        <w:textAlignment w:val="auto"/>
      </w:pPr>
      <w:bookmarkStart w:id="14" w:name="_Ref534117348"/>
      <w:r w:rsidRPr="00233E9C">
        <w:t>3GPP TR 38.889, “Study on NR-based access to unlicensed spectrum,” v16.0.0, December 2018.</w:t>
      </w:r>
      <w:bookmarkEnd w:id="14"/>
    </w:p>
    <w:p w14:paraId="0677E6CD" w14:textId="4A682D14" w:rsidR="00B06002" w:rsidRPr="00233E9C" w:rsidRDefault="00B06002" w:rsidP="00B06002">
      <w:pPr>
        <w:pStyle w:val="Reference"/>
      </w:pPr>
      <w:bookmarkStart w:id="15" w:name="_Ref525666947"/>
      <w:r w:rsidRPr="00233E9C">
        <w:t>R1-1812026, “</w:t>
      </w:r>
      <w:r w:rsidRPr="00233E9C">
        <w:rPr>
          <w:lang w:eastAsia="x-none"/>
        </w:rPr>
        <w:t>LS on wideband carrier operation for NR-U</w:t>
      </w:r>
      <w:r w:rsidRPr="00233E9C">
        <w:t>,” RAN1, RAN1#94b, October 2018.</w:t>
      </w:r>
      <w:bookmarkEnd w:id="15"/>
    </w:p>
    <w:p w14:paraId="199625AB" w14:textId="7339B315" w:rsidR="00F6666F" w:rsidRPr="00233E9C" w:rsidRDefault="00F6666F" w:rsidP="00F6666F">
      <w:pPr>
        <w:pStyle w:val="Reference"/>
      </w:pPr>
      <w:r w:rsidRPr="00233E9C">
        <w:t>R1-1900008, “Reply LS on wideband carrier operation for NR-U,” RAN4, RAN1 AH 1901, January 2019.</w:t>
      </w:r>
    </w:p>
    <w:p w14:paraId="6CF025A6" w14:textId="00E5C970" w:rsidR="00233E9C" w:rsidRDefault="00233E9C" w:rsidP="00233E9C">
      <w:pPr>
        <w:pStyle w:val="Reference"/>
      </w:pPr>
      <w:bookmarkStart w:id="16" w:name="_Ref528951568"/>
      <w:r w:rsidRPr="00233E9C">
        <w:t>R2-1817970, “MAC impact with multiple active BWPs,” Ericsson, RAN2#104, November 2018.</w:t>
      </w:r>
      <w:bookmarkEnd w:id="12"/>
      <w:bookmarkEnd w:id="13"/>
      <w:bookmarkEnd w:id="16"/>
    </w:p>
    <w:sectPr w:rsidR="00233E9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231A" w14:textId="77777777" w:rsidR="008327BF" w:rsidRDefault="008327BF">
      <w:r>
        <w:separator/>
      </w:r>
    </w:p>
  </w:endnote>
  <w:endnote w:type="continuationSeparator" w:id="0">
    <w:p w14:paraId="4F534C29" w14:textId="77777777" w:rsidR="008327BF" w:rsidRDefault="0083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3F490B" w:rsidRDefault="003F49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74B0A" w14:textId="77777777" w:rsidR="008327BF" w:rsidRDefault="008327BF">
      <w:r>
        <w:separator/>
      </w:r>
    </w:p>
  </w:footnote>
  <w:footnote w:type="continuationSeparator" w:id="0">
    <w:p w14:paraId="7761B181" w14:textId="77777777" w:rsidR="008327BF" w:rsidRDefault="00832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F490B" w:rsidRDefault="003F49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4621A18"/>
    <w:multiLevelType w:val="hybridMultilevel"/>
    <w:tmpl w:val="9594C4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1"/>
  </w:num>
  <w:num w:numId="3">
    <w:abstractNumId w:val="0"/>
  </w:num>
  <w:num w:numId="4">
    <w:abstractNumId w:val="19"/>
  </w:num>
  <w:num w:numId="5">
    <w:abstractNumId w:val="20"/>
  </w:num>
  <w:num w:numId="6">
    <w:abstractNumId w:val="21"/>
  </w:num>
  <w:num w:numId="7">
    <w:abstractNumId w:val="7"/>
  </w:num>
  <w:num w:numId="8">
    <w:abstractNumId w:val="9"/>
  </w:num>
  <w:num w:numId="9">
    <w:abstractNumId w:val="4"/>
  </w:num>
  <w:num w:numId="10">
    <w:abstractNumId w:val="27"/>
  </w:num>
  <w:num w:numId="11">
    <w:abstractNumId w:val="10"/>
  </w:num>
  <w:num w:numId="12">
    <w:abstractNumId w:val="25"/>
  </w:num>
  <w:num w:numId="13">
    <w:abstractNumId w:val="14"/>
  </w:num>
  <w:num w:numId="14">
    <w:abstractNumId w:val="17"/>
  </w:num>
  <w:num w:numId="15">
    <w:abstractNumId w:val="16"/>
  </w:num>
  <w:num w:numId="16">
    <w:abstractNumId w:val="24"/>
  </w:num>
  <w:num w:numId="17">
    <w:abstractNumId w:val="5"/>
  </w:num>
  <w:num w:numId="18">
    <w:abstractNumId w:val="26"/>
  </w:num>
  <w:num w:numId="19">
    <w:abstractNumId w:val="3"/>
  </w:num>
  <w:num w:numId="20">
    <w:abstractNumId w:val="8"/>
  </w:num>
  <w:num w:numId="21">
    <w:abstractNumId w:val="13"/>
  </w:num>
  <w:num w:numId="22">
    <w:abstractNumId w:val="22"/>
  </w:num>
  <w:num w:numId="23">
    <w:abstractNumId w:val="23"/>
  </w:num>
  <w:num w:numId="24">
    <w:abstractNumId w:val="2"/>
  </w:num>
  <w:num w:numId="25">
    <w:abstractNumId w:val="15"/>
  </w:num>
  <w:num w:numId="26">
    <w:abstractNumId w:val="6"/>
  </w:num>
  <w:num w:numId="27">
    <w:abstractNumId w:val="1"/>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0ABF"/>
    <w:rsid w:val="00011B28"/>
    <w:rsid w:val="00015D15"/>
    <w:rsid w:val="000204C9"/>
    <w:rsid w:val="00023280"/>
    <w:rsid w:val="00023C28"/>
    <w:rsid w:val="0002564D"/>
    <w:rsid w:val="00025ECA"/>
    <w:rsid w:val="000325B8"/>
    <w:rsid w:val="00033FEE"/>
    <w:rsid w:val="00034C15"/>
    <w:rsid w:val="00035BC4"/>
    <w:rsid w:val="000360D0"/>
    <w:rsid w:val="00036BA1"/>
    <w:rsid w:val="000422E2"/>
    <w:rsid w:val="00042F22"/>
    <w:rsid w:val="000444EF"/>
    <w:rsid w:val="0004455C"/>
    <w:rsid w:val="00052A07"/>
    <w:rsid w:val="000534E3"/>
    <w:rsid w:val="0005606A"/>
    <w:rsid w:val="00057117"/>
    <w:rsid w:val="000616E7"/>
    <w:rsid w:val="0006321A"/>
    <w:rsid w:val="00063A58"/>
    <w:rsid w:val="00063CFC"/>
    <w:rsid w:val="0006487E"/>
    <w:rsid w:val="00065E1A"/>
    <w:rsid w:val="00074309"/>
    <w:rsid w:val="000751B6"/>
    <w:rsid w:val="00075E48"/>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962B9"/>
    <w:rsid w:val="000A1264"/>
    <w:rsid w:val="000A1B7B"/>
    <w:rsid w:val="000A3FD3"/>
    <w:rsid w:val="000A406D"/>
    <w:rsid w:val="000A514D"/>
    <w:rsid w:val="000A56F2"/>
    <w:rsid w:val="000A6E76"/>
    <w:rsid w:val="000B2719"/>
    <w:rsid w:val="000B3A8F"/>
    <w:rsid w:val="000B4AB9"/>
    <w:rsid w:val="000B58C3"/>
    <w:rsid w:val="000B61E9"/>
    <w:rsid w:val="000C165A"/>
    <w:rsid w:val="000C2E19"/>
    <w:rsid w:val="000D0A6E"/>
    <w:rsid w:val="000D0D07"/>
    <w:rsid w:val="000D4797"/>
    <w:rsid w:val="000D773D"/>
    <w:rsid w:val="000E0527"/>
    <w:rsid w:val="000E1E92"/>
    <w:rsid w:val="000F06D6"/>
    <w:rsid w:val="000F0EB1"/>
    <w:rsid w:val="000F1106"/>
    <w:rsid w:val="000F2FA5"/>
    <w:rsid w:val="000F3BE9"/>
    <w:rsid w:val="000F3F6C"/>
    <w:rsid w:val="000F6DF3"/>
    <w:rsid w:val="000F7251"/>
    <w:rsid w:val="001005FF"/>
    <w:rsid w:val="001023EF"/>
    <w:rsid w:val="00104BB1"/>
    <w:rsid w:val="00104DC8"/>
    <w:rsid w:val="001062FB"/>
    <w:rsid w:val="001063E6"/>
    <w:rsid w:val="00113CF4"/>
    <w:rsid w:val="001153EA"/>
    <w:rsid w:val="00115643"/>
    <w:rsid w:val="00116765"/>
    <w:rsid w:val="001219F5"/>
    <w:rsid w:val="00121A20"/>
    <w:rsid w:val="0012377F"/>
    <w:rsid w:val="00124314"/>
    <w:rsid w:val="0012696F"/>
    <w:rsid w:val="00126B4A"/>
    <w:rsid w:val="00131B51"/>
    <w:rsid w:val="00132FD0"/>
    <w:rsid w:val="001344C0"/>
    <w:rsid w:val="001346FA"/>
    <w:rsid w:val="00135252"/>
    <w:rsid w:val="00137AB5"/>
    <w:rsid w:val="00137F0B"/>
    <w:rsid w:val="00151E23"/>
    <w:rsid w:val="001526E0"/>
    <w:rsid w:val="001551B5"/>
    <w:rsid w:val="00163401"/>
    <w:rsid w:val="001659C1"/>
    <w:rsid w:val="00170FF5"/>
    <w:rsid w:val="00173A8E"/>
    <w:rsid w:val="00173FE0"/>
    <w:rsid w:val="001747B9"/>
    <w:rsid w:val="0017502C"/>
    <w:rsid w:val="00180A6A"/>
    <w:rsid w:val="0018143F"/>
    <w:rsid w:val="00181AC7"/>
    <w:rsid w:val="00181FF8"/>
    <w:rsid w:val="001821BD"/>
    <w:rsid w:val="00190AC1"/>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D97"/>
    <w:rsid w:val="001B5A5D"/>
    <w:rsid w:val="001C0AA9"/>
    <w:rsid w:val="001C1CE5"/>
    <w:rsid w:val="001C3D2A"/>
    <w:rsid w:val="001C7CFA"/>
    <w:rsid w:val="001D47A9"/>
    <w:rsid w:val="001D51BA"/>
    <w:rsid w:val="001D53E7"/>
    <w:rsid w:val="001D6342"/>
    <w:rsid w:val="001D6D53"/>
    <w:rsid w:val="001E2838"/>
    <w:rsid w:val="001E4200"/>
    <w:rsid w:val="001E58E2"/>
    <w:rsid w:val="001E7AED"/>
    <w:rsid w:val="001F0FA7"/>
    <w:rsid w:val="001F1F89"/>
    <w:rsid w:val="001F3916"/>
    <w:rsid w:val="001F54C5"/>
    <w:rsid w:val="001F6429"/>
    <w:rsid w:val="001F662C"/>
    <w:rsid w:val="001F7074"/>
    <w:rsid w:val="001F7FB1"/>
    <w:rsid w:val="00200490"/>
    <w:rsid w:val="00201F3A"/>
    <w:rsid w:val="00203F96"/>
    <w:rsid w:val="002069B2"/>
    <w:rsid w:val="00207FA3"/>
    <w:rsid w:val="00213C15"/>
    <w:rsid w:val="00214023"/>
    <w:rsid w:val="00214DA8"/>
    <w:rsid w:val="00215423"/>
    <w:rsid w:val="002158FA"/>
    <w:rsid w:val="0021716B"/>
    <w:rsid w:val="00220600"/>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500C8"/>
    <w:rsid w:val="002521E3"/>
    <w:rsid w:val="00257543"/>
    <w:rsid w:val="00257EC4"/>
    <w:rsid w:val="002617E7"/>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7491E"/>
    <w:rsid w:val="002805F5"/>
    <w:rsid w:val="00280751"/>
    <w:rsid w:val="00281A53"/>
    <w:rsid w:val="0028280A"/>
    <w:rsid w:val="00286ACD"/>
    <w:rsid w:val="00287838"/>
    <w:rsid w:val="00287FE4"/>
    <w:rsid w:val="002905FB"/>
    <w:rsid w:val="002907B5"/>
    <w:rsid w:val="00291B3A"/>
    <w:rsid w:val="00292EB7"/>
    <w:rsid w:val="00295378"/>
    <w:rsid w:val="00296227"/>
    <w:rsid w:val="00296F44"/>
    <w:rsid w:val="002971B2"/>
    <w:rsid w:val="0029777D"/>
    <w:rsid w:val="002A055E"/>
    <w:rsid w:val="002A1507"/>
    <w:rsid w:val="002A1D4E"/>
    <w:rsid w:val="002A2869"/>
    <w:rsid w:val="002B24D6"/>
    <w:rsid w:val="002B46C3"/>
    <w:rsid w:val="002C41E6"/>
    <w:rsid w:val="002C644B"/>
    <w:rsid w:val="002D071A"/>
    <w:rsid w:val="002D34B2"/>
    <w:rsid w:val="002D48B0"/>
    <w:rsid w:val="002D5B37"/>
    <w:rsid w:val="002D7637"/>
    <w:rsid w:val="002E17F2"/>
    <w:rsid w:val="002E18B7"/>
    <w:rsid w:val="002E2BD2"/>
    <w:rsid w:val="002E7CAE"/>
    <w:rsid w:val="002F2771"/>
    <w:rsid w:val="002F37A9"/>
    <w:rsid w:val="002F4C29"/>
    <w:rsid w:val="002F65F4"/>
    <w:rsid w:val="003017C9"/>
    <w:rsid w:val="00301CE6"/>
    <w:rsid w:val="0030256B"/>
    <w:rsid w:val="0030501F"/>
    <w:rsid w:val="00307BA1"/>
    <w:rsid w:val="00311702"/>
    <w:rsid w:val="00311E82"/>
    <w:rsid w:val="00312FD9"/>
    <w:rsid w:val="00313FD6"/>
    <w:rsid w:val="003143BD"/>
    <w:rsid w:val="00314C73"/>
    <w:rsid w:val="00315363"/>
    <w:rsid w:val="003203ED"/>
    <w:rsid w:val="00322C9F"/>
    <w:rsid w:val="00323B65"/>
    <w:rsid w:val="00324D23"/>
    <w:rsid w:val="00326529"/>
    <w:rsid w:val="00331751"/>
    <w:rsid w:val="003318FB"/>
    <w:rsid w:val="00334579"/>
    <w:rsid w:val="00335858"/>
    <w:rsid w:val="003358D9"/>
    <w:rsid w:val="00336BDA"/>
    <w:rsid w:val="003379F4"/>
    <w:rsid w:val="0034108E"/>
    <w:rsid w:val="003417B9"/>
    <w:rsid w:val="00341F16"/>
    <w:rsid w:val="00342BD7"/>
    <w:rsid w:val="00345AE8"/>
    <w:rsid w:val="00346DB5"/>
    <w:rsid w:val="003477B1"/>
    <w:rsid w:val="00357380"/>
    <w:rsid w:val="003602D9"/>
    <w:rsid w:val="003604CE"/>
    <w:rsid w:val="00367B68"/>
    <w:rsid w:val="00370E47"/>
    <w:rsid w:val="00372996"/>
    <w:rsid w:val="003742AC"/>
    <w:rsid w:val="00377CE1"/>
    <w:rsid w:val="003815B5"/>
    <w:rsid w:val="00385BF0"/>
    <w:rsid w:val="0039158D"/>
    <w:rsid w:val="003939FF"/>
    <w:rsid w:val="003A2223"/>
    <w:rsid w:val="003A2A0F"/>
    <w:rsid w:val="003A4425"/>
    <w:rsid w:val="003A45A1"/>
    <w:rsid w:val="003A5B0A"/>
    <w:rsid w:val="003A5FBE"/>
    <w:rsid w:val="003A6BAC"/>
    <w:rsid w:val="003A6E90"/>
    <w:rsid w:val="003A70A4"/>
    <w:rsid w:val="003A7EF3"/>
    <w:rsid w:val="003B0D43"/>
    <w:rsid w:val="003B159C"/>
    <w:rsid w:val="003B369F"/>
    <w:rsid w:val="003B36A3"/>
    <w:rsid w:val="003B37D3"/>
    <w:rsid w:val="003B4DD8"/>
    <w:rsid w:val="003B64BB"/>
    <w:rsid w:val="003B721B"/>
    <w:rsid w:val="003B7FE5"/>
    <w:rsid w:val="003C11C8"/>
    <w:rsid w:val="003C2702"/>
    <w:rsid w:val="003C4F93"/>
    <w:rsid w:val="003C7806"/>
    <w:rsid w:val="003D109F"/>
    <w:rsid w:val="003D2478"/>
    <w:rsid w:val="003D2D90"/>
    <w:rsid w:val="003D3C45"/>
    <w:rsid w:val="003D5B1F"/>
    <w:rsid w:val="003E15FA"/>
    <w:rsid w:val="003E3610"/>
    <w:rsid w:val="003E55E4"/>
    <w:rsid w:val="003E5A5C"/>
    <w:rsid w:val="003E74E3"/>
    <w:rsid w:val="003F05C7"/>
    <w:rsid w:val="003F2CD4"/>
    <w:rsid w:val="003F490B"/>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2C"/>
    <w:rsid w:val="00421245"/>
    <w:rsid w:val="00422AA4"/>
    <w:rsid w:val="004242F4"/>
    <w:rsid w:val="00425DD1"/>
    <w:rsid w:val="00426C39"/>
    <w:rsid w:val="00427248"/>
    <w:rsid w:val="00430D8F"/>
    <w:rsid w:val="00437447"/>
    <w:rsid w:val="00441019"/>
    <w:rsid w:val="00441A92"/>
    <w:rsid w:val="004431DC"/>
    <w:rsid w:val="00444F56"/>
    <w:rsid w:val="004460FB"/>
    <w:rsid w:val="00446488"/>
    <w:rsid w:val="00446710"/>
    <w:rsid w:val="004517AA"/>
    <w:rsid w:val="00452CAC"/>
    <w:rsid w:val="00456A68"/>
    <w:rsid w:val="00457565"/>
    <w:rsid w:val="00457B71"/>
    <w:rsid w:val="00462880"/>
    <w:rsid w:val="004643EF"/>
    <w:rsid w:val="00465C4A"/>
    <w:rsid w:val="004669E2"/>
    <w:rsid w:val="00466DA3"/>
    <w:rsid w:val="00470C31"/>
    <w:rsid w:val="004714B6"/>
    <w:rsid w:val="00471DE0"/>
    <w:rsid w:val="004729F8"/>
    <w:rsid w:val="004734D0"/>
    <w:rsid w:val="0047556B"/>
    <w:rsid w:val="00477768"/>
    <w:rsid w:val="004843BD"/>
    <w:rsid w:val="00486E94"/>
    <w:rsid w:val="00492BC5"/>
    <w:rsid w:val="00495F25"/>
    <w:rsid w:val="004964F1"/>
    <w:rsid w:val="00497CCB"/>
    <w:rsid w:val="004A16BC"/>
    <w:rsid w:val="004A2B94"/>
    <w:rsid w:val="004A2BED"/>
    <w:rsid w:val="004A55E5"/>
    <w:rsid w:val="004A7240"/>
    <w:rsid w:val="004B2A69"/>
    <w:rsid w:val="004B6F6A"/>
    <w:rsid w:val="004B7C0C"/>
    <w:rsid w:val="004C3898"/>
    <w:rsid w:val="004C53EF"/>
    <w:rsid w:val="004D36B1"/>
    <w:rsid w:val="004D7EBD"/>
    <w:rsid w:val="004E2680"/>
    <w:rsid w:val="004E28F9"/>
    <w:rsid w:val="004E3838"/>
    <w:rsid w:val="004E462E"/>
    <w:rsid w:val="004E52A9"/>
    <w:rsid w:val="004E56DC"/>
    <w:rsid w:val="004E76F4"/>
    <w:rsid w:val="004F0B4E"/>
    <w:rsid w:val="004F0B6C"/>
    <w:rsid w:val="004F140F"/>
    <w:rsid w:val="004F2078"/>
    <w:rsid w:val="004F4DA3"/>
    <w:rsid w:val="00501C1D"/>
    <w:rsid w:val="00506557"/>
    <w:rsid w:val="0050677A"/>
    <w:rsid w:val="005108D8"/>
    <w:rsid w:val="005116F9"/>
    <w:rsid w:val="005153A7"/>
    <w:rsid w:val="00521341"/>
    <w:rsid w:val="005219CF"/>
    <w:rsid w:val="00534B59"/>
    <w:rsid w:val="00536759"/>
    <w:rsid w:val="00537058"/>
    <w:rsid w:val="00537C62"/>
    <w:rsid w:val="00546970"/>
    <w:rsid w:val="0054717B"/>
    <w:rsid w:val="0055087F"/>
    <w:rsid w:val="0055129A"/>
    <w:rsid w:val="005530DD"/>
    <w:rsid w:val="00554E19"/>
    <w:rsid w:val="0056121F"/>
    <w:rsid w:val="00570782"/>
    <w:rsid w:val="00572505"/>
    <w:rsid w:val="00577757"/>
    <w:rsid w:val="005802B4"/>
    <w:rsid w:val="00582809"/>
    <w:rsid w:val="005867DE"/>
    <w:rsid w:val="0058798C"/>
    <w:rsid w:val="005900FA"/>
    <w:rsid w:val="0059049B"/>
    <w:rsid w:val="005935A4"/>
    <w:rsid w:val="00594780"/>
    <w:rsid w:val="005948C2"/>
    <w:rsid w:val="00595DCA"/>
    <w:rsid w:val="0059729E"/>
    <w:rsid w:val="0059779B"/>
    <w:rsid w:val="005A209A"/>
    <w:rsid w:val="005A662D"/>
    <w:rsid w:val="005B1409"/>
    <w:rsid w:val="005B1CAE"/>
    <w:rsid w:val="005B35D7"/>
    <w:rsid w:val="005B392A"/>
    <w:rsid w:val="005B3AA3"/>
    <w:rsid w:val="005B5465"/>
    <w:rsid w:val="005B6058"/>
    <w:rsid w:val="005B6F83"/>
    <w:rsid w:val="005C0AE6"/>
    <w:rsid w:val="005C4545"/>
    <w:rsid w:val="005C74FB"/>
    <w:rsid w:val="005D1602"/>
    <w:rsid w:val="005E076B"/>
    <w:rsid w:val="005E385F"/>
    <w:rsid w:val="005E59F7"/>
    <w:rsid w:val="005E5B81"/>
    <w:rsid w:val="005F2550"/>
    <w:rsid w:val="005F2CB1"/>
    <w:rsid w:val="005F3025"/>
    <w:rsid w:val="005F618C"/>
    <w:rsid w:val="005F70BD"/>
    <w:rsid w:val="005F746C"/>
    <w:rsid w:val="0060283C"/>
    <w:rsid w:val="00604F14"/>
    <w:rsid w:val="00605146"/>
    <w:rsid w:val="00611B83"/>
    <w:rsid w:val="00613257"/>
    <w:rsid w:val="00616AD6"/>
    <w:rsid w:val="00620A71"/>
    <w:rsid w:val="00620D80"/>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3DDE"/>
    <w:rsid w:val="00645671"/>
    <w:rsid w:val="0064569D"/>
    <w:rsid w:val="0064622C"/>
    <w:rsid w:val="0064624E"/>
    <w:rsid w:val="00650AB9"/>
    <w:rsid w:val="006523C0"/>
    <w:rsid w:val="00655733"/>
    <w:rsid w:val="00655ACD"/>
    <w:rsid w:val="006569D0"/>
    <w:rsid w:val="00656A92"/>
    <w:rsid w:val="00656DDE"/>
    <w:rsid w:val="0066011D"/>
    <w:rsid w:val="006607C0"/>
    <w:rsid w:val="006613A6"/>
    <w:rsid w:val="006627A2"/>
    <w:rsid w:val="006634E6"/>
    <w:rsid w:val="00664C1A"/>
    <w:rsid w:val="00664E50"/>
    <w:rsid w:val="006655EE"/>
    <w:rsid w:val="00665E53"/>
    <w:rsid w:val="00666BE8"/>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18CE"/>
    <w:rsid w:val="006A203B"/>
    <w:rsid w:val="006A46FB"/>
    <w:rsid w:val="006A5E28"/>
    <w:rsid w:val="006A697B"/>
    <w:rsid w:val="006A6D00"/>
    <w:rsid w:val="006A7AFF"/>
    <w:rsid w:val="006B1816"/>
    <w:rsid w:val="006B2099"/>
    <w:rsid w:val="006B5002"/>
    <w:rsid w:val="006B50CF"/>
    <w:rsid w:val="006B5901"/>
    <w:rsid w:val="006C03B8"/>
    <w:rsid w:val="006C1DE4"/>
    <w:rsid w:val="006C44DA"/>
    <w:rsid w:val="006C4D06"/>
    <w:rsid w:val="006C4F1B"/>
    <w:rsid w:val="006C5EC9"/>
    <w:rsid w:val="006C6059"/>
    <w:rsid w:val="006C7522"/>
    <w:rsid w:val="006D647D"/>
    <w:rsid w:val="006D6E7D"/>
    <w:rsid w:val="006D6F08"/>
    <w:rsid w:val="006E062C"/>
    <w:rsid w:val="006E0684"/>
    <w:rsid w:val="006E1C82"/>
    <w:rsid w:val="006E28B7"/>
    <w:rsid w:val="006E2A9B"/>
    <w:rsid w:val="006E3310"/>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42F5"/>
    <w:rsid w:val="007148D3"/>
    <w:rsid w:val="00715B9A"/>
    <w:rsid w:val="00716800"/>
    <w:rsid w:val="007216AE"/>
    <w:rsid w:val="00724DD3"/>
    <w:rsid w:val="007257D0"/>
    <w:rsid w:val="00726EA6"/>
    <w:rsid w:val="00727208"/>
    <w:rsid w:val="00727680"/>
    <w:rsid w:val="007348B1"/>
    <w:rsid w:val="007362A6"/>
    <w:rsid w:val="00736D7D"/>
    <w:rsid w:val="00740E58"/>
    <w:rsid w:val="00741C00"/>
    <w:rsid w:val="007445A0"/>
    <w:rsid w:val="0074524B"/>
    <w:rsid w:val="00747D8B"/>
    <w:rsid w:val="00751228"/>
    <w:rsid w:val="0075182F"/>
    <w:rsid w:val="007571E1"/>
    <w:rsid w:val="007576E0"/>
    <w:rsid w:val="007604B2"/>
    <w:rsid w:val="00765281"/>
    <w:rsid w:val="00765ADB"/>
    <w:rsid w:val="00766BAD"/>
    <w:rsid w:val="007729A2"/>
    <w:rsid w:val="007755F2"/>
    <w:rsid w:val="00776971"/>
    <w:rsid w:val="007778D3"/>
    <w:rsid w:val="00780A80"/>
    <w:rsid w:val="0078177E"/>
    <w:rsid w:val="0078304C"/>
    <w:rsid w:val="00783673"/>
    <w:rsid w:val="00784F07"/>
    <w:rsid w:val="00785490"/>
    <w:rsid w:val="007925EA"/>
    <w:rsid w:val="0079375B"/>
    <w:rsid w:val="00793CD8"/>
    <w:rsid w:val="00793F37"/>
    <w:rsid w:val="00795C92"/>
    <w:rsid w:val="00796231"/>
    <w:rsid w:val="007A1CB3"/>
    <w:rsid w:val="007A2F5F"/>
    <w:rsid w:val="007A306F"/>
    <w:rsid w:val="007A3F5E"/>
    <w:rsid w:val="007A43A6"/>
    <w:rsid w:val="007A441F"/>
    <w:rsid w:val="007A483A"/>
    <w:rsid w:val="007A58A6"/>
    <w:rsid w:val="007A6C58"/>
    <w:rsid w:val="007A7A3F"/>
    <w:rsid w:val="007B3D2D"/>
    <w:rsid w:val="007B50AE"/>
    <w:rsid w:val="007B51DF"/>
    <w:rsid w:val="007C05DD"/>
    <w:rsid w:val="007C37C1"/>
    <w:rsid w:val="007C3D18"/>
    <w:rsid w:val="007C5AAD"/>
    <w:rsid w:val="007C60BF"/>
    <w:rsid w:val="007C6A07"/>
    <w:rsid w:val="007C75A1"/>
    <w:rsid w:val="007C77A5"/>
    <w:rsid w:val="007D04E5"/>
    <w:rsid w:val="007D23AD"/>
    <w:rsid w:val="007D4358"/>
    <w:rsid w:val="007D4A34"/>
    <w:rsid w:val="007D5505"/>
    <w:rsid w:val="007D5901"/>
    <w:rsid w:val="007D7526"/>
    <w:rsid w:val="007E4610"/>
    <w:rsid w:val="007E4715"/>
    <w:rsid w:val="007E505B"/>
    <w:rsid w:val="007E7091"/>
    <w:rsid w:val="007E73E6"/>
    <w:rsid w:val="007F0CD7"/>
    <w:rsid w:val="007F4B69"/>
    <w:rsid w:val="007F6B58"/>
    <w:rsid w:val="007F6FFA"/>
    <w:rsid w:val="007F7AD6"/>
    <w:rsid w:val="0080323E"/>
    <w:rsid w:val="00803FAE"/>
    <w:rsid w:val="0080605F"/>
    <w:rsid w:val="00807786"/>
    <w:rsid w:val="00811FCB"/>
    <w:rsid w:val="008158D6"/>
    <w:rsid w:val="00815A9D"/>
    <w:rsid w:val="00817041"/>
    <w:rsid w:val="00817196"/>
    <w:rsid w:val="008172AE"/>
    <w:rsid w:val="008235DB"/>
    <w:rsid w:val="00824AB4"/>
    <w:rsid w:val="00825C42"/>
    <w:rsid w:val="00825D25"/>
    <w:rsid w:val="00827D6F"/>
    <w:rsid w:val="008327BF"/>
    <w:rsid w:val="008376AC"/>
    <w:rsid w:val="00841F3E"/>
    <w:rsid w:val="008444E8"/>
    <w:rsid w:val="00844E80"/>
    <w:rsid w:val="008455CB"/>
    <w:rsid w:val="00846520"/>
    <w:rsid w:val="00846FE7"/>
    <w:rsid w:val="00850D16"/>
    <w:rsid w:val="00856911"/>
    <w:rsid w:val="00862290"/>
    <w:rsid w:val="00863A07"/>
    <w:rsid w:val="008640D0"/>
    <w:rsid w:val="0086686F"/>
    <w:rsid w:val="008677FD"/>
    <w:rsid w:val="008706D4"/>
    <w:rsid w:val="00870F8A"/>
    <w:rsid w:val="008719A4"/>
    <w:rsid w:val="00871D23"/>
    <w:rsid w:val="008738A4"/>
    <w:rsid w:val="00874312"/>
    <w:rsid w:val="0087437C"/>
    <w:rsid w:val="00874FF9"/>
    <w:rsid w:val="00875CD7"/>
    <w:rsid w:val="00876B4D"/>
    <w:rsid w:val="00877F18"/>
    <w:rsid w:val="00880ACE"/>
    <w:rsid w:val="00882EF2"/>
    <w:rsid w:val="00887EDE"/>
    <w:rsid w:val="00890B40"/>
    <w:rsid w:val="00891D52"/>
    <w:rsid w:val="008941E3"/>
    <w:rsid w:val="00894A88"/>
    <w:rsid w:val="00895386"/>
    <w:rsid w:val="008961F9"/>
    <w:rsid w:val="008A1DAD"/>
    <w:rsid w:val="008A21FF"/>
    <w:rsid w:val="008A2CE2"/>
    <w:rsid w:val="008A30AC"/>
    <w:rsid w:val="008A30F9"/>
    <w:rsid w:val="008A44B8"/>
    <w:rsid w:val="008A51A8"/>
    <w:rsid w:val="008A54C7"/>
    <w:rsid w:val="008A6BFA"/>
    <w:rsid w:val="008A77D8"/>
    <w:rsid w:val="008B0483"/>
    <w:rsid w:val="008B120C"/>
    <w:rsid w:val="008B1530"/>
    <w:rsid w:val="008B3652"/>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D7C00"/>
    <w:rsid w:val="008E065E"/>
    <w:rsid w:val="008E0927"/>
    <w:rsid w:val="008E1909"/>
    <w:rsid w:val="008E28FA"/>
    <w:rsid w:val="008E42B4"/>
    <w:rsid w:val="008E7BA1"/>
    <w:rsid w:val="008F1C4E"/>
    <w:rsid w:val="008F1EAB"/>
    <w:rsid w:val="008F2233"/>
    <w:rsid w:val="008F33DC"/>
    <w:rsid w:val="008F477F"/>
    <w:rsid w:val="00902350"/>
    <w:rsid w:val="0090336B"/>
    <w:rsid w:val="009041D9"/>
    <w:rsid w:val="009053AA"/>
    <w:rsid w:val="00906939"/>
    <w:rsid w:val="00910B7D"/>
    <w:rsid w:val="00911DFB"/>
    <w:rsid w:val="009139D9"/>
    <w:rsid w:val="00914AD8"/>
    <w:rsid w:val="00916079"/>
    <w:rsid w:val="00917CE9"/>
    <w:rsid w:val="00920BF2"/>
    <w:rsid w:val="00922010"/>
    <w:rsid w:val="00925088"/>
    <w:rsid w:val="00930F86"/>
    <w:rsid w:val="009317FA"/>
    <w:rsid w:val="00931BD9"/>
    <w:rsid w:val="009341DA"/>
    <w:rsid w:val="009368F3"/>
    <w:rsid w:val="00941636"/>
    <w:rsid w:val="00943742"/>
    <w:rsid w:val="00944B32"/>
    <w:rsid w:val="00945C05"/>
    <w:rsid w:val="00946945"/>
    <w:rsid w:val="00947713"/>
    <w:rsid w:val="00950522"/>
    <w:rsid w:val="00950C88"/>
    <w:rsid w:val="00950DE7"/>
    <w:rsid w:val="00951CDE"/>
    <w:rsid w:val="00952274"/>
    <w:rsid w:val="00953920"/>
    <w:rsid w:val="00953D47"/>
    <w:rsid w:val="0095681E"/>
    <w:rsid w:val="009572D4"/>
    <w:rsid w:val="00961921"/>
    <w:rsid w:val="0096430A"/>
    <w:rsid w:val="0096554B"/>
    <w:rsid w:val="0096584A"/>
    <w:rsid w:val="00970CD7"/>
    <w:rsid w:val="00971F08"/>
    <w:rsid w:val="0097603D"/>
    <w:rsid w:val="00976949"/>
    <w:rsid w:val="00980477"/>
    <w:rsid w:val="00980504"/>
    <w:rsid w:val="00985253"/>
    <w:rsid w:val="009852A3"/>
    <w:rsid w:val="009853B3"/>
    <w:rsid w:val="00985F47"/>
    <w:rsid w:val="00990630"/>
    <w:rsid w:val="00991761"/>
    <w:rsid w:val="009918D4"/>
    <w:rsid w:val="00994DCA"/>
    <w:rsid w:val="009960EC"/>
    <w:rsid w:val="009970DD"/>
    <w:rsid w:val="00997EFB"/>
    <w:rsid w:val="009A0FBA"/>
    <w:rsid w:val="009A1601"/>
    <w:rsid w:val="009A3BB6"/>
    <w:rsid w:val="009A3E1A"/>
    <w:rsid w:val="009A462D"/>
    <w:rsid w:val="009A5806"/>
    <w:rsid w:val="009A5CBA"/>
    <w:rsid w:val="009B0D0E"/>
    <w:rsid w:val="009B1F30"/>
    <w:rsid w:val="009B3AC2"/>
    <w:rsid w:val="009B4DF4"/>
    <w:rsid w:val="009B564E"/>
    <w:rsid w:val="009B7E87"/>
    <w:rsid w:val="009C0169"/>
    <w:rsid w:val="009C403E"/>
    <w:rsid w:val="009C4596"/>
    <w:rsid w:val="009C45FD"/>
    <w:rsid w:val="009D1941"/>
    <w:rsid w:val="009D4FF0"/>
    <w:rsid w:val="009D6FDB"/>
    <w:rsid w:val="009D703C"/>
    <w:rsid w:val="009D718F"/>
    <w:rsid w:val="009E068F"/>
    <w:rsid w:val="009E0E36"/>
    <w:rsid w:val="009E11E1"/>
    <w:rsid w:val="009E14E0"/>
    <w:rsid w:val="009E35DB"/>
    <w:rsid w:val="009E47A3"/>
    <w:rsid w:val="009E47DF"/>
    <w:rsid w:val="009E650C"/>
    <w:rsid w:val="009F08F3"/>
    <w:rsid w:val="009F0D27"/>
    <w:rsid w:val="009F20A1"/>
    <w:rsid w:val="009F344F"/>
    <w:rsid w:val="009F3EB0"/>
    <w:rsid w:val="009F570D"/>
    <w:rsid w:val="00A029A9"/>
    <w:rsid w:val="00A031D8"/>
    <w:rsid w:val="00A048A8"/>
    <w:rsid w:val="00A04F49"/>
    <w:rsid w:val="00A138EC"/>
    <w:rsid w:val="00A13E54"/>
    <w:rsid w:val="00A1509C"/>
    <w:rsid w:val="00A15C2B"/>
    <w:rsid w:val="00A17F63"/>
    <w:rsid w:val="00A2193B"/>
    <w:rsid w:val="00A21CAA"/>
    <w:rsid w:val="00A2351A"/>
    <w:rsid w:val="00A264A9"/>
    <w:rsid w:val="00A267D7"/>
    <w:rsid w:val="00A26DCF"/>
    <w:rsid w:val="00A27785"/>
    <w:rsid w:val="00A30187"/>
    <w:rsid w:val="00A31151"/>
    <w:rsid w:val="00A3448A"/>
    <w:rsid w:val="00A36297"/>
    <w:rsid w:val="00A3745D"/>
    <w:rsid w:val="00A4053F"/>
    <w:rsid w:val="00A41E2B"/>
    <w:rsid w:val="00A45B74"/>
    <w:rsid w:val="00A52127"/>
    <w:rsid w:val="00A52E1D"/>
    <w:rsid w:val="00A55DB1"/>
    <w:rsid w:val="00A61499"/>
    <w:rsid w:val="00A6228C"/>
    <w:rsid w:val="00A62A77"/>
    <w:rsid w:val="00A63483"/>
    <w:rsid w:val="00A64B5A"/>
    <w:rsid w:val="00A657D7"/>
    <w:rsid w:val="00A660AC"/>
    <w:rsid w:val="00A67E6C"/>
    <w:rsid w:val="00A71B99"/>
    <w:rsid w:val="00A72C1F"/>
    <w:rsid w:val="00A739D0"/>
    <w:rsid w:val="00A761D4"/>
    <w:rsid w:val="00A7737D"/>
    <w:rsid w:val="00A77EC4"/>
    <w:rsid w:val="00A812CC"/>
    <w:rsid w:val="00A81CC6"/>
    <w:rsid w:val="00A85960"/>
    <w:rsid w:val="00A92879"/>
    <w:rsid w:val="00A92B42"/>
    <w:rsid w:val="00A9442A"/>
    <w:rsid w:val="00A95035"/>
    <w:rsid w:val="00A961B7"/>
    <w:rsid w:val="00A96DD3"/>
    <w:rsid w:val="00A979D6"/>
    <w:rsid w:val="00AA016F"/>
    <w:rsid w:val="00AA14DA"/>
    <w:rsid w:val="00AA1ED6"/>
    <w:rsid w:val="00AA51D6"/>
    <w:rsid w:val="00AB0BC8"/>
    <w:rsid w:val="00AB11CA"/>
    <w:rsid w:val="00AB14D9"/>
    <w:rsid w:val="00AB4AB8"/>
    <w:rsid w:val="00AB655E"/>
    <w:rsid w:val="00AB6E3E"/>
    <w:rsid w:val="00AC007F"/>
    <w:rsid w:val="00AC2ECD"/>
    <w:rsid w:val="00AC3119"/>
    <w:rsid w:val="00AC49FB"/>
    <w:rsid w:val="00AC5A10"/>
    <w:rsid w:val="00AC66F3"/>
    <w:rsid w:val="00AD001C"/>
    <w:rsid w:val="00AD0AA3"/>
    <w:rsid w:val="00AD25AF"/>
    <w:rsid w:val="00AD2ED0"/>
    <w:rsid w:val="00AD3F94"/>
    <w:rsid w:val="00AD45A2"/>
    <w:rsid w:val="00AD4A5A"/>
    <w:rsid w:val="00AE27AC"/>
    <w:rsid w:val="00AE3371"/>
    <w:rsid w:val="00AE40E0"/>
    <w:rsid w:val="00AE4DBA"/>
    <w:rsid w:val="00AE4F07"/>
    <w:rsid w:val="00AF0D3D"/>
    <w:rsid w:val="00AF1C5D"/>
    <w:rsid w:val="00AF1DCE"/>
    <w:rsid w:val="00AF42D7"/>
    <w:rsid w:val="00AF5372"/>
    <w:rsid w:val="00B006FE"/>
    <w:rsid w:val="00B007CB"/>
    <w:rsid w:val="00B023A1"/>
    <w:rsid w:val="00B02AA9"/>
    <w:rsid w:val="00B02FA3"/>
    <w:rsid w:val="00B048E3"/>
    <w:rsid w:val="00B05084"/>
    <w:rsid w:val="00B06002"/>
    <w:rsid w:val="00B157F9"/>
    <w:rsid w:val="00B20256"/>
    <w:rsid w:val="00B2071A"/>
    <w:rsid w:val="00B20D09"/>
    <w:rsid w:val="00B22567"/>
    <w:rsid w:val="00B22C41"/>
    <w:rsid w:val="00B24A71"/>
    <w:rsid w:val="00B26F9A"/>
    <w:rsid w:val="00B2763F"/>
    <w:rsid w:val="00B278F6"/>
    <w:rsid w:val="00B27AAC"/>
    <w:rsid w:val="00B30929"/>
    <w:rsid w:val="00B372AA"/>
    <w:rsid w:val="00B40445"/>
    <w:rsid w:val="00B409E0"/>
    <w:rsid w:val="00B415E1"/>
    <w:rsid w:val="00B41888"/>
    <w:rsid w:val="00B45A52"/>
    <w:rsid w:val="00B46175"/>
    <w:rsid w:val="00B46724"/>
    <w:rsid w:val="00B53F46"/>
    <w:rsid w:val="00B548B7"/>
    <w:rsid w:val="00B61870"/>
    <w:rsid w:val="00B664C7"/>
    <w:rsid w:val="00B70F4A"/>
    <w:rsid w:val="00B72553"/>
    <w:rsid w:val="00B739F6"/>
    <w:rsid w:val="00B73AC1"/>
    <w:rsid w:val="00B769D2"/>
    <w:rsid w:val="00B80D2A"/>
    <w:rsid w:val="00B81A6C"/>
    <w:rsid w:val="00B83975"/>
    <w:rsid w:val="00B85DE5"/>
    <w:rsid w:val="00B90F73"/>
    <w:rsid w:val="00B92426"/>
    <w:rsid w:val="00B93B59"/>
    <w:rsid w:val="00B9406A"/>
    <w:rsid w:val="00B949E1"/>
    <w:rsid w:val="00B94B0D"/>
    <w:rsid w:val="00B9715C"/>
    <w:rsid w:val="00BA2280"/>
    <w:rsid w:val="00BA2A08"/>
    <w:rsid w:val="00BA56D2"/>
    <w:rsid w:val="00BA69DD"/>
    <w:rsid w:val="00BA7172"/>
    <w:rsid w:val="00BA76E0"/>
    <w:rsid w:val="00BB15D9"/>
    <w:rsid w:val="00BB208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555"/>
    <w:rsid w:val="00C02CC6"/>
    <w:rsid w:val="00C03EC6"/>
    <w:rsid w:val="00C040F7"/>
    <w:rsid w:val="00C044AB"/>
    <w:rsid w:val="00C05706"/>
    <w:rsid w:val="00C07377"/>
    <w:rsid w:val="00C10478"/>
    <w:rsid w:val="00C12107"/>
    <w:rsid w:val="00C14D4B"/>
    <w:rsid w:val="00C154BB"/>
    <w:rsid w:val="00C156BE"/>
    <w:rsid w:val="00C25290"/>
    <w:rsid w:val="00C27789"/>
    <w:rsid w:val="00C279B5"/>
    <w:rsid w:val="00C27C45"/>
    <w:rsid w:val="00C3719D"/>
    <w:rsid w:val="00C37B4D"/>
    <w:rsid w:val="00C37CB2"/>
    <w:rsid w:val="00C404DE"/>
    <w:rsid w:val="00C41423"/>
    <w:rsid w:val="00C4427C"/>
    <w:rsid w:val="00C45A96"/>
    <w:rsid w:val="00C470FC"/>
    <w:rsid w:val="00C473A5"/>
    <w:rsid w:val="00C5054E"/>
    <w:rsid w:val="00C54995"/>
    <w:rsid w:val="00C54D41"/>
    <w:rsid w:val="00C60783"/>
    <w:rsid w:val="00C62702"/>
    <w:rsid w:val="00C64672"/>
    <w:rsid w:val="00C66E70"/>
    <w:rsid w:val="00C70697"/>
    <w:rsid w:val="00C70EEC"/>
    <w:rsid w:val="00C71C25"/>
    <w:rsid w:val="00C72076"/>
    <w:rsid w:val="00C72093"/>
    <w:rsid w:val="00C72EF4"/>
    <w:rsid w:val="00C744FE"/>
    <w:rsid w:val="00C75D2F"/>
    <w:rsid w:val="00C767BE"/>
    <w:rsid w:val="00C76E3C"/>
    <w:rsid w:val="00C77B01"/>
    <w:rsid w:val="00C81568"/>
    <w:rsid w:val="00C9027A"/>
    <w:rsid w:val="00C9068E"/>
    <w:rsid w:val="00C935A0"/>
    <w:rsid w:val="00C93814"/>
    <w:rsid w:val="00C93C4B"/>
    <w:rsid w:val="00C944AB"/>
    <w:rsid w:val="00C95B40"/>
    <w:rsid w:val="00CA0538"/>
    <w:rsid w:val="00CA1ED8"/>
    <w:rsid w:val="00CA2DED"/>
    <w:rsid w:val="00CA4E6E"/>
    <w:rsid w:val="00CB1F63"/>
    <w:rsid w:val="00CB5B49"/>
    <w:rsid w:val="00CB7170"/>
    <w:rsid w:val="00CC040E"/>
    <w:rsid w:val="00CC111F"/>
    <w:rsid w:val="00CC2011"/>
    <w:rsid w:val="00CC3EA0"/>
    <w:rsid w:val="00CC7B45"/>
    <w:rsid w:val="00CD1188"/>
    <w:rsid w:val="00CD2ED1"/>
    <w:rsid w:val="00CD337B"/>
    <w:rsid w:val="00CE0424"/>
    <w:rsid w:val="00CE1325"/>
    <w:rsid w:val="00CE3BD9"/>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546FF"/>
    <w:rsid w:val="00D55AD5"/>
    <w:rsid w:val="00D57647"/>
    <w:rsid w:val="00D576CA"/>
    <w:rsid w:val="00D61AF5"/>
    <w:rsid w:val="00D652B5"/>
    <w:rsid w:val="00D66155"/>
    <w:rsid w:val="00D708B0"/>
    <w:rsid w:val="00D74B19"/>
    <w:rsid w:val="00D77B1D"/>
    <w:rsid w:val="00D8021F"/>
    <w:rsid w:val="00D80383"/>
    <w:rsid w:val="00D809D2"/>
    <w:rsid w:val="00D823C6"/>
    <w:rsid w:val="00D829E9"/>
    <w:rsid w:val="00D830AC"/>
    <w:rsid w:val="00D8327F"/>
    <w:rsid w:val="00D85F4C"/>
    <w:rsid w:val="00D86CA3"/>
    <w:rsid w:val="00D87044"/>
    <w:rsid w:val="00D871CE"/>
    <w:rsid w:val="00D902C6"/>
    <w:rsid w:val="00D918C4"/>
    <w:rsid w:val="00D9196D"/>
    <w:rsid w:val="00D92982"/>
    <w:rsid w:val="00D94931"/>
    <w:rsid w:val="00DA087D"/>
    <w:rsid w:val="00DA12B7"/>
    <w:rsid w:val="00DA305E"/>
    <w:rsid w:val="00DA5417"/>
    <w:rsid w:val="00DA56E8"/>
    <w:rsid w:val="00DB0A9F"/>
    <w:rsid w:val="00DB14D1"/>
    <w:rsid w:val="00DB377D"/>
    <w:rsid w:val="00DB627B"/>
    <w:rsid w:val="00DB72AF"/>
    <w:rsid w:val="00DC24AC"/>
    <w:rsid w:val="00DC2D36"/>
    <w:rsid w:val="00DC53EF"/>
    <w:rsid w:val="00DD2379"/>
    <w:rsid w:val="00DD3E5E"/>
    <w:rsid w:val="00DE0939"/>
    <w:rsid w:val="00DE5608"/>
    <w:rsid w:val="00DE58D0"/>
    <w:rsid w:val="00DE5911"/>
    <w:rsid w:val="00DE654F"/>
    <w:rsid w:val="00DE6CE8"/>
    <w:rsid w:val="00DF00BF"/>
    <w:rsid w:val="00DF0B6E"/>
    <w:rsid w:val="00DF15E0"/>
    <w:rsid w:val="00DF37A0"/>
    <w:rsid w:val="00E02AD2"/>
    <w:rsid w:val="00E06B0A"/>
    <w:rsid w:val="00E07560"/>
    <w:rsid w:val="00E110E7"/>
    <w:rsid w:val="00E117E2"/>
    <w:rsid w:val="00E11B20"/>
    <w:rsid w:val="00E12A27"/>
    <w:rsid w:val="00E17FA2"/>
    <w:rsid w:val="00E20D68"/>
    <w:rsid w:val="00E22330"/>
    <w:rsid w:val="00E26C48"/>
    <w:rsid w:val="00E304B6"/>
    <w:rsid w:val="00E30B5A"/>
    <w:rsid w:val="00E3123D"/>
    <w:rsid w:val="00E31461"/>
    <w:rsid w:val="00E31D43"/>
    <w:rsid w:val="00E32608"/>
    <w:rsid w:val="00E34188"/>
    <w:rsid w:val="00E34B6E"/>
    <w:rsid w:val="00E35559"/>
    <w:rsid w:val="00E3723A"/>
    <w:rsid w:val="00E37860"/>
    <w:rsid w:val="00E446F1"/>
    <w:rsid w:val="00E46886"/>
    <w:rsid w:val="00E47AEF"/>
    <w:rsid w:val="00E534EA"/>
    <w:rsid w:val="00E53B75"/>
    <w:rsid w:val="00E54965"/>
    <w:rsid w:val="00E54E3B"/>
    <w:rsid w:val="00E57565"/>
    <w:rsid w:val="00E60BDF"/>
    <w:rsid w:val="00E6180E"/>
    <w:rsid w:val="00E63838"/>
    <w:rsid w:val="00E64434"/>
    <w:rsid w:val="00E6553E"/>
    <w:rsid w:val="00E6624B"/>
    <w:rsid w:val="00E662FD"/>
    <w:rsid w:val="00E67C51"/>
    <w:rsid w:val="00E72EFC"/>
    <w:rsid w:val="00E745CA"/>
    <w:rsid w:val="00E758EC"/>
    <w:rsid w:val="00E75F5A"/>
    <w:rsid w:val="00E7639D"/>
    <w:rsid w:val="00E8234C"/>
    <w:rsid w:val="00E83AA9"/>
    <w:rsid w:val="00E85928"/>
    <w:rsid w:val="00E8620E"/>
    <w:rsid w:val="00E87822"/>
    <w:rsid w:val="00E90395"/>
    <w:rsid w:val="00E90E49"/>
    <w:rsid w:val="00E917F9"/>
    <w:rsid w:val="00E921FD"/>
    <w:rsid w:val="00E9291C"/>
    <w:rsid w:val="00E93FFE"/>
    <w:rsid w:val="00E9453F"/>
    <w:rsid w:val="00E94F8A"/>
    <w:rsid w:val="00E95514"/>
    <w:rsid w:val="00EA3C24"/>
    <w:rsid w:val="00EA7A41"/>
    <w:rsid w:val="00EB077B"/>
    <w:rsid w:val="00EB1DD1"/>
    <w:rsid w:val="00EB4EA2"/>
    <w:rsid w:val="00EC24D5"/>
    <w:rsid w:val="00EC27C6"/>
    <w:rsid w:val="00EC3A6B"/>
    <w:rsid w:val="00EC3D8F"/>
    <w:rsid w:val="00EC4207"/>
    <w:rsid w:val="00EC5653"/>
    <w:rsid w:val="00EC71CE"/>
    <w:rsid w:val="00ED1006"/>
    <w:rsid w:val="00EE1D29"/>
    <w:rsid w:val="00EE2C60"/>
    <w:rsid w:val="00EE479F"/>
    <w:rsid w:val="00EF18FE"/>
    <w:rsid w:val="00EF2498"/>
    <w:rsid w:val="00EF5787"/>
    <w:rsid w:val="00EF60D0"/>
    <w:rsid w:val="00F03B22"/>
    <w:rsid w:val="00F0528D"/>
    <w:rsid w:val="00F06C67"/>
    <w:rsid w:val="00F06DFD"/>
    <w:rsid w:val="00F071D1"/>
    <w:rsid w:val="00F07533"/>
    <w:rsid w:val="00F10629"/>
    <w:rsid w:val="00F15FA5"/>
    <w:rsid w:val="00F209B7"/>
    <w:rsid w:val="00F2376F"/>
    <w:rsid w:val="00F243D8"/>
    <w:rsid w:val="00F275C6"/>
    <w:rsid w:val="00F3014C"/>
    <w:rsid w:val="00F30828"/>
    <w:rsid w:val="00F313D6"/>
    <w:rsid w:val="00F35DE4"/>
    <w:rsid w:val="00F369A8"/>
    <w:rsid w:val="00F40F0C"/>
    <w:rsid w:val="00F4579A"/>
    <w:rsid w:val="00F4766C"/>
    <w:rsid w:val="00F5060E"/>
    <w:rsid w:val="00F507D1"/>
    <w:rsid w:val="00F519CE"/>
    <w:rsid w:val="00F51ADA"/>
    <w:rsid w:val="00F53E65"/>
    <w:rsid w:val="00F60203"/>
    <w:rsid w:val="00F6040E"/>
    <w:rsid w:val="00F607C5"/>
    <w:rsid w:val="00F60DEA"/>
    <w:rsid w:val="00F611DA"/>
    <w:rsid w:val="00F61332"/>
    <w:rsid w:val="00F6302A"/>
    <w:rsid w:val="00F63950"/>
    <w:rsid w:val="00F64C2B"/>
    <w:rsid w:val="00F64E60"/>
    <w:rsid w:val="00F651BE"/>
    <w:rsid w:val="00F6666F"/>
    <w:rsid w:val="00F67F53"/>
    <w:rsid w:val="00F703BE"/>
    <w:rsid w:val="00F714BE"/>
    <w:rsid w:val="00F71F69"/>
    <w:rsid w:val="00F72B72"/>
    <w:rsid w:val="00F74BB9"/>
    <w:rsid w:val="00F75255"/>
    <w:rsid w:val="00F75582"/>
    <w:rsid w:val="00F7689C"/>
    <w:rsid w:val="00F76EFA"/>
    <w:rsid w:val="00F80103"/>
    <w:rsid w:val="00F804BE"/>
    <w:rsid w:val="00F817CE"/>
    <w:rsid w:val="00F8456C"/>
    <w:rsid w:val="00F859D8"/>
    <w:rsid w:val="00F868F5"/>
    <w:rsid w:val="00F9056A"/>
    <w:rsid w:val="00F90F8D"/>
    <w:rsid w:val="00F92782"/>
    <w:rsid w:val="00F93311"/>
    <w:rsid w:val="00F93AA9"/>
    <w:rsid w:val="00F96985"/>
    <w:rsid w:val="00F97838"/>
    <w:rsid w:val="00F97B8A"/>
    <w:rsid w:val="00FA0ED6"/>
    <w:rsid w:val="00FA2BB3"/>
    <w:rsid w:val="00FA3919"/>
    <w:rsid w:val="00FA64E3"/>
    <w:rsid w:val="00FB4C80"/>
    <w:rsid w:val="00FB6A6A"/>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B6111418-7D35-424C-A3CA-4C73B706C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641</TotalTime>
  <Pages>5</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98</cp:revision>
  <cp:lastPrinted>2008-01-31T07:09:00Z</cp:lastPrinted>
  <dcterms:created xsi:type="dcterms:W3CDTF">2018-08-09T11:35:00Z</dcterms:created>
  <dcterms:modified xsi:type="dcterms:W3CDTF">2019-01-11T20:03:00Z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